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49" w:rsidRDefault="005B7949" w:rsidP="00404659">
      <w:pPr>
        <w:spacing w:line="240" w:lineRule="auto"/>
        <w:jc w:val="center"/>
        <w:rPr>
          <w:rFonts w:ascii="Tahoma" w:hAnsi="Tahoma" w:cs="Tahoma"/>
          <w:b/>
          <w:color w:val="FF0000"/>
        </w:rPr>
      </w:pPr>
      <w:r>
        <w:rPr>
          <w:rFonts w:ascii="Tahoma" w:hAnsi="Tahoma" w:cs="Tahoma"/>
          <w:b/>
          <w:noProof/>
          <w:color w:val="FF0000"/>
          <w:lang w:eastAsia="nl-BE"/>
        </w:rPr>
        <w:drawing>
          <wp:inline distT="0" distB="0" distL="0" distR="0">
            <wp:extent cx="1332000" cy="1075329"/>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GeZ_4_72dpi.jpg"/>
                    <pic:cNvPicPr/>
                  </pic:nvPicPr>
                  <pic:blipFill rotWithShape="1">
                    <a:blip r:embed="rId9" cstate="print">
                      <a:extLst>
                        <a:ext uri="{28A0092B-C50C-407E-A947-70E740481C1C}">
                          <a14:useLocalDpi xmlns:a14="http://schemas.microsoft.com/office/drawing/2010/main" val="0"/>
                        </a:ext>
                      </a:extLst>
                    </a:blip>
                    <a:srcRect l="1170" t="1" r="150" b="-63"/>
                    <a:stretch/>
                  </pic:blipFill>
                  <pic:spPr bwMode="auto">
                    <a:xfrm>
                      <a:off x="0" y="0"/>
                      <a:ext cx="1349956" cy="1089825"/>
                    </a:xfrm>
                    <a:prstGeom prst="rect">
                      <a:avLst/>
                    </a:prstGeom>
                    <a:ln>
                      <a:noFill/>
                    </a:ln>
                    <a:extLst>
                      <a:ext uri="{53640926-AAD7-44D8-BBD7-CCE9431645EC}">
                        <a14:shadowObscured xmlns:a14="http://schemas.microsoft.com/office/drawing/2010/main"/>
                      </a:ext>
                    </a:extLst>
                  </pic:spPr>
                </pic:pic>
              </a:graphicData>
            </a:graphic>
          </wp:inline>
        </w:drawing>
      </w:r>
      <w:r>
        <w:rPr>
          <w:rFonts w:ascii="Tahoma" w:hAnsi="Tahoma" w:cs="Tahoma"/>
          <w:b/>
          <w:noProof/>
          <w:color w:val="FF0000"/>
          <w:lang w:eastAsia="nl-BE"/>
        </w:rPr>
        <w:drawing>
          <wp:inline distT="0" distB="0" distL="0" distR="0">
            <wp:extent cx="1237130" cy="10748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GeZ_10_72dpi.jpg"/>
                    <pic:cNvPicPr/>
                  </pic:nvPicPr>
                  <pic:blipFill rotWithShape="1">
                    <a:blip r:embed="rId10" cstate="print">
                      <a:extLst>
                        <a:ext uri="{28A0092B-C50C-407E-A947-70E740481C1C}">
                          <a14:useLocalDpi xmlns:a14="http://schemas.microsoft.com/office/drawing/2010/main" val="0"/>
                        </a:ext>
                      </a:extLst>
                    </a:blip>
                    <a:srcRect l="537" t="1090" r="5538" b="1090"/>
                    <a:stretch/>
                  </pic:blipFill>
                  <pic:spPr bwMode="auto">
                    <a:xfrm>
                      <a:off x="0" y="0"/>
                      <a:ext cx="1255912" cy="1091118"/>
                    </a:xfrm>
                    <a:prstGeom prst="rect">
                      <a:avLst/>
                    </a:prstGeom>
                    <a:ln>
                      <a:noFill/>
                    </a:ln>
                    <a:extLst>
                      <a:ext uri="{53640926-AAD7-44D8-BBD7-CCE9431645EC}">
                        <a14:shadowObscured xmlns:a14="http://schemas.microsoft.com/office/drawing/2010/main"/>
                      </a:ext>
                    </a:extLst>
                  </pic:spPr>
                </pic:pic>
              </a:graphicData>
            </a:graphic>
          </wp:inline>
        </w:drawing>
      </w:r>
      <w:r>
        <w:rPr>
          <w:rFonts w:ascii="Tahoma" w:hAnsi="Tahoma" w:cs="Tahoma"/>
          <w:b/>
          <w:noProof/>
          <w:color w:val="FF0000"/>
          <w:lang w:eastAsia="nl-BE"/>
        </w:rPr>
        <w:drawing>
          <wp:inline distT="0" distB="0" distL="0" distR="0">
            <wp:extent cx="1332000" cy="1073303"/>
            <wp:effectExtent l="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GeZ_8_72dpi.jpg"/>
                    <pic:cNvPicPr/>
                  </pic:nvPicPr>
                  <pic:blipFill rotWithShape="1">
                    <a:blip r:embed="rId11" cstate="print">
                      <a:extLst>
                        <a:ext uri="{28A0092B-C50C-407E-A947-70E740481C1C}">
                          <a14:useLocalDpi xmlns:a14="http://schemas.microsoft.com/office/drawing/2010/main" val="0"/>
                        </a:ext>
                      </a:extLst>
                    </a:blip>
                    <a:srcRect r="821"/>
                    <a:stretch/>
                  </pic:blipFill>
                  <pic:spPr bwMode="auto">
                    <a:xfrm>
                      <a:off x="0" y="0"/>
                      <a:ext cx="1338568" cy="1078595"/>
                    </a:xfrm>
                    <a:prstGeom prst="rect">
                      <a:avLst/>
                    </a:prstGeom>
                    <a:ln>
                      <a:noFill/>
                    </a:ln>
                    <a:extLst>
                      <a:ext uri="{53640926-AAD7-44D8-BBD7-CCE9431645EC}">
                        <a14:shadowObscured xmlns:a14="http://schemas.microsoft.com/office/drawing/2010/main"/>
                      </a:ext>
                    </a:extLst>
                  </pic:spPr>
                </pic:pic>
              </a:graphicData>
            </a:graphic>
          </wp:inline>
        </w:drawing>
      </w:r>
      <w:r>
        <w:rPr>
          <w:rFonts w:ascii="Tahoma" w:hAnsi="Tahoma" w:cs="Tahoma"/>
          <w:b/>
          <w:noProof/>
          <w:color w:val="FF0000"/>
          <w:lang w:eastAsia="nl-BE"/>
        </w:rPr>
        <w:drawing>
          <wp:inline distT="0" distB="0" distL="0" distR="0">
            <wp:extent cx="1332000" cy="1072156"/>
            <wp:effectExtent l="0" t="0" r="190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GeZ_16_72dpi.jpg"/>
                    <pic:cNvPicPr/>
                  </pic:nvPicPr>
                  <pic:blipFill rotWithShape="1">
                    <a:blip r:embed="rId12" cstate="print">
                      <a:extLst>
                        <a:ext uri="{BEBA8EAE-BF5A-486C-A8C5-ECC9F3942E4B}">
                          <a14:imgProps xmlns:a14="http://schemas.microsoft.com/office/drawing/2010/main">
                            <a14:imgLayer r:embed="rId13">
                              <a14:imgEffect>
                                <a14:sharpenSoften amount="-6000"/>
                              </a14:imgEffect>
                            </a14:imgLayer>
                          </a14:imgProps>
                        </a:ext>
                        <a:ext uri="{28A0092B-C50C-407E-A947-70E740481C1C}">
                          <a14:useLocalDpi xmlns:a14="http://schemas.microsoft.com/office/drawing/2010/main" val="0"/>
                        </a:ext>
                      </a:extLst>
                    </a:blip>
                    <a:srcRect t="2577" r="5317" b="538"/>
                    <a:stretch/>
                  </pic:blipFill>
                  <pic:spPr bwMode="auto">
                    <a:xfrm>
                      <a:off x="0" y="0"/>
                      <a:ext cx="1343284" cy="1081239"/>
                    </a:xfrm>
                    <a:prstGeom prst="rect">
                      <a:avLst/>
                    </a:prstGeom>
                    <a:ln>
                      <a:noFill/>
                    </a:ln>
                    <a:extLst>
                      <a:ext uri="{53640926-AAD7-44D8-BBD7-CCE9431645EC}">
                        <a14:shadowObscured xmlns:a14="http://schemas.microsoft.com/office/drawing/2010/main"/>
                      </a:ext>
                    </a:extLst>
                  </pic:spPr>
                </pic:pic>
              </a:graphicData>
            </a:graphic>
          </wp:inline>
        </w:drawing>
      </w:r>
    </w:p>
    <w:p w:rsidR="00404659" w:rsidRPr="00404659" w:rsidRDefault="001F6151" w:rsidP="00404659">
      <w:pPr>
        <w:spacing w:line="240" w:lineRule="auto"/>
        <w:jc w:val="center"/>
        <w:rPr>
          <w:rFonts w:ascii="Tahoma" w:hAnsi="Tahoma" w:cs="Tahoma"/>
          <w:b/>
          <w:color w:val="FF0000"/>
        </w:rPr>
      </w:pPr>
      <w:r w:rsidRPr="00404659">
        <w:rPr>
          <w:rFonts w:ascii="Tahoma" w:hAnsi="Tahoma" w:cs="Tahoma"/>
          <w:b/>
          <w:color w:val="FF0000"/>
        </w:rPr>
        <w:t>GEESTELIJKE GEZONDHEIDSBEVORDERING</w:t>
      </w:r>
    </w:p>
    <w:p w:rsidR="00404659" w:rsidRPr="00966E38" w:rsidRDefault="00404659" w:rsidP="00404659">
      <w:pPr>
        <w:rPr>
          <w:rFonts w:ascii="Tahoma" w:hAnsi="Tahoma" w:cs="Tahoma"/>
          <w:b/>
          <w:i/>
          <w:color w:val="0070C0"/>
        </w:rPr>
      </w:pPr>
      <w:r w:rsidRPr="00966E38">
        <w:rPr>
          <w:rFonts w:ascii="Tahoma" w:hAnsi="Tahoma" w:cs="Tahoma"/>
          <w:b/>
          <w:i/>
          <w:color w:val="0070C0"/>
        </w:rPr>
        <w:t>G</w:t>
      </w:r>
      <w:r w:rsidR="00CB664F">
        <w:rPr>
          <w:rFonts w:ascii="Tahoma" w:hAnsi="Tahoma" w:cs="Tahoma"/>
          <w:b/>
          <w:i/>
          <w:color w:val="0070C0"/>
        </w:rPr>
        <w:t xml:space="preserve">eestelijke gezondheidsbevordering </w:t>
      </w:r>
      <w:r w:rsidRPr="00966E38">
        <w:rPr>
          <w:rFonts w:ascii="Tahoma" w:hAnsi="Tahoma" w:cs="Tahoma"/>
          <w:b/>
          <w:i/>
          <w:color w:val="0070C0"/>
        </w:rPr>
        <w:t>is nodig voor de hele bevolking!</w:t>
      </w:r>
    </w:p>
    <w:p w:rsidR="001F6151" w:rsidRPr="009D5686" w:rsidRDefault="001F6151" w:rsidP="001F6151">
      <w:pPr>
        <w:spacing w:after="0" w:line="240" w:lineRule="auto"/>
        <w:jc w:val="both"/>
        <w:rPr>
          <w:rFonts w:ascii="Tahoma" w:hAnsi="Tahoma"/>
          <w:color w:val="262626"/>
          <w:sz w:val="20"/>
        </w:rPr>
      </w:pPr>
      <w:r w:rsidRPr="009D5686">
        <w:rPr>
          <w:rFonts w:ascii="Tahoma" w:hAnsi="Tahoma"/>
          <w:color w:val="262626"/>
          <w:sz w:val="20"/>
        </w:rPr>
        <w:t>Geestelijke gezondheid (GG) is een heel ruim concept dat varieert van een goede geestelijke gezondheid, openbloeien (</w:t>
      </w:r>
      <w:proofErr w:type="spellStart"/>
      <w:r w:rsidRPr="009D5686">
        <w:rPr>
          <w:rFonts w:ascii="Tahoma" w:hAnsi="Tahoma"/>
          <w:color w:val="262626"/>
          <w:sz w:val="20"/>
        </w:rPr>
        <w:t>flourishing</w:t>
      </w:r>
      <w:proofErr w:type="spellEnd"/>
      <w:r w:rsidRPr="009D5686">
        <w:rPr>
          <w:rFonts w:ascii="Tahoma" w:hAnsi="Tahoma"/>
          <w:color w:val="262626"/>
          <w:sz w:val="20"/>
        </w:rPr>
        <w:t xml:space="preserve">) en welbevinden tot geestelijke gezondheidsproblemen en psychiatrische ziekten. Geestelijke gezondheid is meer dan de afwezigheid van ziekte, het is een voedingsbron voor het dagelijkse leven. Een positieve geestelijke gezondheid stelt mensen in staat hun volledig potentieel te realiseren en om te gaan met de overgang in levensfasen en belangrijke gebeurtenissen (life events). </w:t>
      </w:r>
      <w:r w:rsidR="0030081D" w:rsidRPr="009D5686">
        <w:rPr>
          <w:rFonts w:ascii="Tahoma" w:hAnsi="Tahoma"/>
          <w:color w:val="262626"/>
          <w:sz w:val="20"/>
        </w:rPr>
        <w:t>Centrale begrippen voor een positieve geestelijke gezondheid zijn veerkracht (</w:t>
      </w:r>
      <w:proofErr w:type="spellStart"/>
      <w:r w:rsidR="0030081D" w:rsidRPr="009D5686">
        <w:rPr>
          <w:rFonts w:ascii="Tahoma" w:hAnsi="Tahoma"/>
          <w:color w:val="262626"/>
          <w:sz w:val="20"/>
        </w:rPr>
        <w:t>resilience</w:t>
      </w:r>
      <w:proofErr w:type="spellEnd"/>
      <w:r w:rsidR="0030081D" w:rsidRPr="009D5686">
        <w:rPr>
          <w:rFonts w:ascii="Tahoma" w:hAnsi="Tahoma"/>
          <w:color w:val="262626"/>
          <w:sz w:val="20"/>
        </w:rPr>
        <w:t xml:space="preserve">), </w:t>
      </w:r>
      <w:proofErr w:type="spellStart"/>
      <w:r w:rsidR="0030081D" w:rsidRPr="009D5686">
        <w:rPr>
          <w:rFonts w:ascii="Tahoma" w:hAnsi="Tahoma"/>
          <w:color w:val="262626"/>
          <w:sz w:val="20"/>
        </w:rPr>
        <w:t>copingvaardigheden</w:t>
      </w:r>
      <w:proofErr w:type="spellEnd"/>
      <w:r w:rsidR="0030081D" w:rsidRPr="009D5686">
        <w:rPr>
          <w:rFonts w:ascii="Tahoma" w:hAnsi="Tahoma"/>
          <w:color w:val="262626"/>
          <w:sz w:val="20"/>
        </w:rPr>
        <w:t xml:space="preserve"> en </w:t>
      </w:r>
      <w:proofErr w:type="spellStart"/>
      <w:r w:rsidR="0030081D" w:rsidRPr="009D5686">
        <w:rPr>
          <w:rFonts w:ascii="Tahoma" w:hAnsi="Tahoma"/>
          <w:color w:val="262626"/>
          <w:sz w:val="20"/>
        </w:rPr>
        <w:t>self-efficacy</w:t>
      </w:r>
      <w:proofErr w:type="spellEnd"/>
      <w:r w:rsidR="0030081D" w:rsidRPr="009D5686">
        <w:rPr>
          <w:rFonts w:ascii="Tahoma" w:hAnsi="Tahoma"/>
          <w:color w:val="262626"/>
          <w:sz w:val="20"/>
        </w:rPr>
        <w:t xml:space="preserve"> (gevoel van </w:t>
      </w:r>
      <w:proofErr w:type="spellStart"/>
      <w:r w:rsidR="0030081D" w:rsidRPr="009D5686">
        <w:rPr>
          <w:rFonts w:ascii="Tahoma" w:hAnsi="Tahoma"/>
          <w:color w:val="262626"/>
          <w:sz w:val="20"/>
        </w:rPr>
        <w:t>mastery</w:t>
      </w:r>
      <w:proofErr w:type="spellEnd"/>
      <w:r w:rsidR="0030081D" w:rsidRPr="009D5686">
        <w:rPr>
          <w:rFonts w:ascii="Tahoma" w:hAnsi="Tahoma"/>
          <w:color w:val="262626"/>
          <w:sz w:val="20"/>
        </w:rPr>
        <w:t xml:space="preserve"> en controle over de omgeving).</w:t>
      </w:r>
    </w:p>
    <w:p w:rsidR="001F6151" w:rsidRPr="009D5686" w:rsidRDefault="001F6151" w:rsidP="001F6151">
      <w:pPr>
        <w:spacing w:after="0" w:line="240" w:lineRule="auto"/>
        <w:jc w:val="both"/>
        <w:rPr>
          <w:rFonts w:ascii="Tahoma" w:hAnsi="Tahoma"/>
          <w:color w:val="262626"/>
          <w:sz w:val="20"/>
        </w:rPr>
      </w:pPr>
    </w:p>
    <w:p w:rsidR="001F6151" w:rsidRPr="009D5686" w:rsidRDefault="001F6151" w:rsidP="001F6151">
      <w:pPr>
        <w:spacing w:after="0" w:line="240" w:lineRule="auto"/>
        <w:jc w:val="both"/>
        <w:rPr>
          <w:rFonts w:ascii="Tahoma" w:hAnsi="Tahoma"/>
          <w:color w:val="262626"/>
          <w:sz w:val="20"/>
        </w:rPr>
      </w:pPr>
      <w:r w:rsidRPr="009D5686">
        <w:rPr>
          <w:rFonts w:ascii="Tahoma" w:hAnsi="Tahoma"/>
          <w:b/>
          <w:color w:val="262626"/>
          <w:sz w:val="20"/>
        </w:rPr>
        <w:t>Geestelijke gezondheidsbevordering</w:t>
      </w:r>
      <w:r w:rsidRPr="009D5686">
        <w:rPr>
          <w:rFonts w:ascii="Tahoma" w:hAnsi="Tahoma"/>
          <w:color w:val="262626"/>
          <w:sz w:val="20"/>
        </w:rPr>
        <w:t xml:space="preserve"> (GGB) is het proces waarbij individuen en gemeenschappen in staat gesteld worden om de controle over hun eigen leven te nemen en hun geestelijke gezondheid te verbeteren. Het beoogt </w:t>
      </w:r>
      <w:r w:rsidR="0030081D" w:rsidRPr="009D5686">
        <w:rPr>
          <w:rFonts w:ascii="Tahoma" w:hAnsi="Tahoma"/>
          <w:color w:val="262626"/>
          <w:sz w:val="20"/>
        </w:rPr>
        <w:t xml:space="preserve">de verhoging van </w:t>
      </w:r>
      <w:r w:rsidRPr="009D5686">
        <w:rPr>
          <w:rFonts w:ascii="Tahoma" w:hAnsi="Tahoma"/>
          <w:color w:val="262626"/>
          <w:sz w:val="20"/>
        </w:rPr>
        <w:t xml:space="preserve">zelfwaardering, </w:t>
      </w:r>
      <w:proofErr w:type="spellStart"/>
      <w:r w:rsidRPr="009D5686">
        <w:rPr>
          <w:rFonts w:ascii="Tahoma" w:hAnsi="Tahoma"/>
          <w:color w:val="262626"/>
          <w:sz w:val="20"/>
        </w:rPr>
        <w:t>copingvaardigheden</w:t>
      </w:r>
      <w:proofErr w:type="spellEnd"/>
      <w:r w:rsidRPr="009D5686">
        <w:rPr>
          <w:rFonts w:ascii="Tahoma" w:hAnsi="Tahoma"/>
          <w:color w:val="262626"/>
          <w:sz w:val="20"/>
        </w:rPr>
        <w:t>, en familie- en gemeenschapsondersteuning te verhogen, alsook de bredere sociale en economische omgeving die geestelijke gezondheid beïnvloed</w:t>
      </w:r>
      <w:r w:rsidR="003167F4" w:rsidRPr="009D5686">
        <w:rPr>
          <w:rFonts w:ascii="Tahoma" w:hAnsi="Tahoma"/>
          <w:color w:val="262626"/>
          <w:sz w:val="20"/>
        </w:rPr>
        <w:t>t, te veranderen</w:t>
      </w:r>
      <w:r w:rsidRPr="003167F4">
        <w:rPr>
          <w:rFonts w:ascii="Tahoma" w:eastAsia="Times New Roman" w:hAnsi="Tahoma" w:cs="Tahoma"/>
          <w:color w:val="262626"/>
          <w:sz w:val="20"/>
          <w:szCs w:val="20"/>
        </w:rPr>
        <w:t>.</w:t>
      </w:r>
      <w:r w:rsidRPr="009D5686">
        <w:rPr>
          <w:rFonts w:ascii="Tahoma" w:hAnsi="Tahoma"/>
          <w:color w:val="262626"/>
          <w:sz w:val="20"/>
        </w:rPr>
        <w:t xml:space="preserve">  </w:t>
      </w:r>
    </w:p>
    <w:p w:rsidR="001F6151" w:rsidRPr="009D5686" w:rsidRDefault="001F6151" w:rsidP="001F6151">
      <w:pPr>
        <w:spacing w:after="0" w:line="240" w:lineRule="auto"/>
        <w:jc w:val="both"/>
        <w:rPr>
          <w:rFonts w:ascii="Tahoma" w:hAnsi="Tahoma"/>
          <w:color w:val="262626"/>
          <w:sz w:val="20"/>
        </w:rPr>
      </w:pPr>
      <w:r w:rsidRPr="009D5686">
        <w:rPr>
          <w:rFonts w:ascii="Tahoma" w:hAnsi="Tahoma"/>
          <w:color w:val="262626"/>
          <w:sz w:val="20"/>
        </w:rPr>
        <w:t>De aandacht in de wetenschappelijke literatuur, onderzoek en de praktijk gaat vooral naar geestelijke gezondheidszorg waarbij interventies slechts naar een deel van de bevolking gericht worden</w:t>
      </w:r>
      <w:r w:rsidR="0030081D" w:rsidRPr="009D5686">
        <w:rPr>
          <w:rFonts w:ascii="Tahoma" w:hAnsi="Tahoma"/>
          <w:color w:val="262626"/>
          <w:sz w:val="20"/>
        </w:rPr>
        <w:t>. Maar de disci</w:t>
      </w:r>
      <w:r w:rsidR="00FB6B81" w:rsidRPr="009D5686">
        <w:rPr>
          <w:rFonts w:ascii="Tahoma" w:hAnsi="Tahoma"/>
          <w:color w:val="262626"/>
          <w:sz w:val="20"/>
        </w:rPr>
        <w:t>pline van GGB wint stilaan terre</w:t>
      </w:r>
      <w:r w:rsidR="0030081D" w:rsidRPr="009D5686">
        <w:rPr>
          <w:rFonts w:ascii="Tahoma" w:hAnsi="Tahoma"/>
          <w:color w:val="262626"/>
          <w:sz w:val="20"/>
        </w:rPr>
        <w:t>in</w:t>
      </w:r>
      <w:r w:rsidR="00727A8E">
        <w:rPr>
          <w:rFonts w:ascii="Tahoma" w:hAnsi="Tahoma"/>
          <w:color w:val="262626"/>
          <w:sz w:val="20"/>
        </w:rPr>
        <w:t>,</w:t>
      </w:r>
      <w:r w:rsidR="0030081D" w:rsidRPr="009D5686">
        <w:rPr>
          <w:rFonts w:ascii="Tahoma" w:hAnsi="Tahoma"/>
          <w:color w:val="262626"/>
          <w:sz w:val="20"/>
        </w:rPr>
        <w:t xml:space="preserve"> gedreven door </w:t>
      </w:r>
      <w:r w:rsidR="0043344B" w:rsidRPr="009D5686">
        <w:rPr>
          <w:rFonts w:ascii="Tahoma" w:hAnsi="Tahoma"/>
          <w:color w:val="262626"/>
          <w:sz w:val="20"/>
        </w:rPr>
        <w:t xml:space="preserve">de nood om de levenskwaliteit en het psychisch welbevinden van de algemene bevolking te verhogen (los van de focus op geestesziekten en geestelijke gezondheidszorg) alsook </w:t>
      </w:r>
      <w:r w:rsidR="0030081D" w:rsidRPr="009D5686">
        <w:rPr>
          <w:rFonts w:ascii="Tahoma" w:hAnsi="Tahoma"/>
          <w:color w:val="262626"/>
          <w:sz w:val="20"/>
        </w:rPr>
        <w:t xml:space="preserve">het inzicht dat </w:t>
      </w:r>
      <w:r w:rsidRPr="009D5686">
        <w:rPr>
          <w:rFonts w:ascii="Tahoma" w:hAnsi="Tahoma"/>
          <w:color w:val="262626"/>
          <w:sz w:val="20"/>
        </w:rPr>
        <w:t>geestelijke gezondheidsbevorderende interventies mogelijk de hele bevolking naar een hoger functioneren, tevreden bestaan, en optimaler niveau van levenskwaliteit kunnen brengen.</w:t>
      </w:r>
    </w:p>
    <w:p w:rsidR="001F6151" w:rsidRPr="009D5686" w:rsidRDefault="001F6151" w:rsidP="001F6151">
      <w:pPr>
        <w:spacing w:after="0" w:line="240" w:lineRule="auto"/>
        <w:jc w:val="both"/>
        <w:rPr>
          <w:rFonts w:ascii="Tahoma" w:hAnsi="Tahoma"/>
          <w:color w:val="262626"/>
          <w:sz w:val="20"/>
        </w:rPr>
      </w:pPr>
    </w:p>
    <w:p w:rsidR="001F6151" w:rsidRPr="009D5686" w:rsidRDefault="00AC5D22" w:rsidP="001F6151">
      <w:pPr>
        <w:spacing w:after="0" w:line="240" w:lineRule="auto"/>
        <w:jc w:val="both"/>
        <w:rPr>
          <w:rFonts w:ascii="Tahoma" w:hAnsi="Tahoma"/>
          <w:color w:val="262626"/>
          <w:sz w:val="20"/>
        </w:rPr>
      </w:pPr>
      <w:r>
        <w:rPr>
          <w:rFonts w:ascii="Tahoma" w:hAnsi="Tahoma"/>
          <w:color w:val="262626"/>
          <w:sz w:val="20"/>
        </w:rPr>
        <w:t>Bij</w:t>
      </w:r>
      <w:r w:rsidR="001F6151" w:rsidRPr="009D5686">
        <w:rPr>
          <w:rFonts w:ascii="Tahoma" w:hAnsi="Tahoma"/>
          <w:color w:val="262626"/>
          <w:sz w:val="20"/>
        </w:rPr>
        <w:t xml:space="preserve"> geestelijke gezondheidsbevordering </w:t>
      </w:r>
      <w:r>
        <w:rPr>
          <w:rFonts w:ascii="Tahoma" w:hAnsi="Tahoma"/>
          <w:color w:val="262626"/>
          <w:sz w:val="20"/>
        </w:rPr>
        <w:t>staat</w:t>
      </w:r>
      <w:r w:rsidRPr="009D5686">
        <w:rPr>
          <w:rFonts w:ascii="Tahoma" w:hAnsi="Tahoma"/>
          <w:color w:val="262626"/>
          <w:sz w:val="20"/>
        </w:rPr>
        <w:t xml:space="preserve"> </w:t>
      </w:r>
      <w:r w:rsidR="001F6151" w:rsidRPr="009D5686">
        <w:rPr>
          <w:rFonts w:ascii="Tahoma" w:hAnsi="Tahoma"/>
          <w:color w:val="262626"/>
          <w:sz w:val="20"/>
        </w:rPr>
        <w:t xml:space="preserve">het versterken van </w:t>
      </w:r>
      <w:r>
        <w:rPr>
          <w:rFonts w:ascii="Tahoma" w:hAnsi="Tahoma"/>
          <w:color w:val="262626"/>
          <w:sz w:val="20"/>
        </w:rPr>
        <w:t xml:space="preserve">de </w:t>
      </w:r>
      <w:r w:rsidR="001F6151" w:rsidRPr="009D5686">
        <w:rPr>
          <w:rFonts w:ascii="Tahoma" w:hAnsi="Tahoma"/>
          <w:color w:val="262626"/>
          <w:sz w:val="20"/>
        </w:rPr>
        <w:t xml:space="preserve">protectieve factoren </w:t>
      </w:r>
      <w:bookmarkStart w:id="0" w:name="_GoBack"/>
      <w:r>
        <w:rPr>
          <w:rFonts w:ascii="Tahoma" w:hAnsi="Tahoma"/>
          <w:color w:val="262626"/>
          <w:sz w:val="20"/>
        </w:rPr>
        <w:t>centraal</w:t>
      </w:r>
      <w:r w:rsidR="001F6151" w:rsidRPr="009D5686">
        <w:rPr>
          <w:rFonts w:ascii="Tahoma" w:hAnsi="Tahoma"/>
          <w:color w:val="262626"/>
          <w:sz w:val="20"/>
        </w:rPr>
        <w:t xml:space="preserve">. </w:t>
      </w:r>
      <w:bookmarkEnd w:id="0"/>
    </w:p>
    <w:p w:rsidR="001F6151" w:rsidRPr="009D5686" w:rsidRDefault="001F6151" w:rsidP="001F6151">
      <w:pPr>
        <w:spacing w:after="0" w:line="240" w:lineRule="auto"/>
        <w:jc w:val="both"/>
        <w:rPr>
          <w:rFonts w:ascii="Tahoma" w:hAnsi="Tahoma"/>
          <w:color w:val="262626"/>
          <w:sz w:val="20"/>
        </w:rPr>
      </w:pPr>
    </w:p>
    <w:p w:rsidR="001F6151" w:rsidRPr="009D5686" w:rsidRDefault="001F6151" w:rsidP="001F6151">
      <w:pPr>
        <w:spacing w:after="120" w:line="240" w:lineRule="auto"/>
        <w:jc w:val="both"/>
        <w:rPr>
          <w:rFonts w:ascii="Tahoma" w:hAnsi="Tahoma"/>
          <w:color w:val="262626"/>
          <w:sz w:val="20"/>
        </w:rPr>
      </w:pPr>
      <w:r w:rsidRPr="009D5686">
        <w:rPr>
          <w:rFonts w:ascii="Tahoma" w:hAnsi="Tahoma"/>
          <w:color w:val="262626"/>
          <w:sz w:val="20"/>
        </w:rPr>
        <w:t>GGB legt zich toe op:</w:t>
      </w:r>
    </w:p>
    <w:p w:rsidR="001F6151" w:rsidRPr="009D5686" w:rsidRDefault="001F6151" w:rsidP="001F6151">
      <w:pPr>
        <w:numPr>
          <w:ilvl w:val="0"/>
          <w:numId w:val="1"/>
        </w:numPr>
        <w:spacing w:after="0" w:line="240" w:lineRule="auto"/>
        <w:jc w:val="both"/>
        <w:rPr>
          <w:rFonts w:ascii="Tahoma" w:hAnsi="Tahoma"/>
          <w:color w:val="262626"/>
          <w:sz w:val="20"/>
        </w:rPr>
      </w:pPr>
      <w:r w:rsidRPr="009D5686">
        <w:rPr>
          <w:rFonts w:ascii="Tahoma" w:hAnsi="Tahoma"/>
          <w:b/>
          <w:color w:val="262626"/>
          <w:sz w:val="20"/>
        </w:rPr>
        <w:t>Het positieve verbeteren, het negatieve verminderen</w:t>
      </w:r>
      <w:r w:rsidRPr="009D5686">
        <w:rPr>
          <w:rFonts w:ascii="Tahoma" w:hAnsi="Tahoma"/>
          <w:color w:val="262626"/>
          <w:sz w:val="20"/>
        </w:rPr>
        <w:t xml:space="preserve">: </w:t>
      </w:r>
      <w:r w:rsidR="00727A8E">
        <w:rPr>
          <w:rFonts w:ascii="Tahoma" w:hAnsi="Tahoma"/>
          <w:color w:val="262626"/>
          <w:sz w:val="20"/>
        </w:rPr>
        <w:t>d</w:t>
      </w:r>
      <w:r w:rsidRPr="009D5686">
        <w:rPr>
          <w:rFonts w:ascii="Tahoma" w:hAnsi="Tahoma"/>
          <w:color w:val="262626"/>
          <w:sz w:val="20"/>
        </w:rPr>
        <w:t xml:space="preserve">e evidentie toont aan dat een </w:t>
      </w:r>
      <w:proofErr w:type="spellStart"/>
      <w:r w:rsidRPr="009D5686">
        <w:rPr>
          <w:rFonts w:ascii="Tahoma" w:hAnsi="Tahoma"/>
          <w:color w:val="262626"/>
          <w:sz w:val="20"/>
        </w:rPr>
        <w:t>duele</w:t>
      </w:r>
      <w:proofErr w:type="spellEnd"/>
      <w:r w:rsidRPr="009D5686">
        <w:rPr>
          <w:rFonts w:ascii="Tahoma" w:hAnsi="Tahoma"/>
          <w:color w:val="262626"/>
          <w:sz w:val="20"/>
        </w:rPr>
        <w:t xml:space="preserve"> aanpak waarbij beschermende factoren bevorderd worden (zoals vaardigheden en ondersteunende omgeving verbeteren) en risicofactoren verminderd worden (zoals alcohol- en drugmisbruik, geweld in het gezin) meer kans heeft effectief te zijn op lange termijn. </w:t>
      </w:r>
    </w:p>
    <w:p w:rsidR="001F6151" w:rsidRPr="009D5686" w:rsidRDefault="001F6151" w:rsidP="001F6151">
      <w:pPr>
        <w:spacing w:after="0" w:line="240" w:lineRule="auto"/>
        <w:ind w:left="720"/>
        <w:jc w:val="both"/>
        <w:rPr>
          <w:rFonts w:ascii="Tahoma" w:hAnsi="Tahoma"/>
          <w:color w:val="262626"/>
          <w:sz w:val="20"/>
        </w:rPr>
      </w:pPr>
    </w:p>
    <w:p w:rsidR="001F6151" w:rsidRPr="009D5686" w:rsidRDefault="001F6151" w:rsidP="001F6151">
      <w:pPr>
        <w:numPr>
          <w:ilvl w:val="0"/>
          <w:numId w:val="1"/>
        </w:numPr>
        <w:spacing w:after="0" w:line="240" w:lineRule="auto"/>
        <w:jc w:val="both"/>
        <w:rPr>
          <w:rFonts w:ascii="Tahoma" w:hAnsi="Tahoma"/>
          <w:color w:val="262626"/>
          <w:sz w:val="20"/>
        </w:rPr>
      </w:pPr>
      <w:r w:rsidRPr="009D5686">
        <w:rPr>
          <w:rFonts w:ascii="Tahoma" w:hAnsi="Tahoma"/>
          <w:b/>
          <w:color w:val="262626"/>
          <w:sz w:val="20"/>
        </w:rPr>
        <w:t>Zowel individuele als omgevingsfactoren aanpakken</w:t>
      </w:r>
      <w:r w:rsidRPr="009D5686">
        <w:rPr>
          <w:rFonts w:ascii="Tahoma" w:hAnsi="Tahoma"/>
          <w:color w:val="262626"/>
          <w:sz w:val="20"/>
        </w:rPr>
        <w:t xml:space="preserve">: </w:t>
      </w:r>
      <w:r w:rsidR="00727A8E">
        <w:rPr>
          <w:rFonts w:ascii="Tahoma" w:hAnsi="Tahoma"/>
          <w:color w:val="262626"/>
          <w:sz w:val="20"/>
        </w:rPr>
        <w:t>e</w:t>
      </w:r>
      <w:r w:rsidRPr="009D5686">
        <w:rPr>
          <w:rFonts w:ascii="Tahoma" w:hAnsi="Tahoma"/>
          <w:color w:val="262626"/>
          <w:sz w:val="20"/>
        </w:rPr>
        <w:t xml:space="preserve">r is ruime overeenstemming dat welbevinden beïnvloed wordt door vaardigheden en kenmerken van het individu, maar ook door omgevingsfactoren </w:t>
      </w:r>
      <w:r w:rsidR="0030081D" w:rsidRPr="009D5686">
        <w:rPr>
          <w:rFonts w:ascii="Tahoma" w:hAnsi="Tahoma"/>
          <w:color w:val="262626"/>
          <w:sz w:val="20"/>
        </w:rPr>
        <w:t>(</w:t>
      </w:r>
      <w:r w:rsidRPr="009D5686">
        <w:rPr>
          <w:rFonts w:ascii="Tahoma" w:hAnsi="Tahoma"/>
          <w:color w:val="262626"/>
          <w:sz w:val="20"/>
        </w:rPr>
        <w:t xml:space="preserve">zoals de steun van anderen, mogelijkheden om vaardigheden te ontwikkelen, een stabiele, </w:t>
      </w:r>
      <w:r w:rsidR="0030081D" w:rsidRPr="009D5686">
        <w:rPr>
          <w:rFonts w:ascii="Tahoma" w:hAnsi="Tahoma"/>
          <w:color w:val="262626"/>
          <w:sz w:val="20"/>
        </w:rPr>
        <w:t>steunen</w:t>
      </w:r>
      <w:r w:rsidRPr="009D5686">
        <w:rPr>
          <w:rFonts w:ascii="Tahoma" w:hAnsi="Tahoma"/>
          <w:color w:val="262626"/>
          <w:sz w:val="20"/>
        </w:rPr>
        <w:t>de thuisomgeving, en werkgelegenheid</w:t>
      </w:r>
      <w:r w:rsidR="0030081D" w:rsidRPr="009D5686">
        <w:rPr>
          <w:rFonts w:ascii="Tahoma" w:hAnsi="Tahoma"/>
          <w:color w:val="262626"/>
          <w:sz w:val="20"/>
        </w:rPr>
        <w:t>)</w:t>
      </w:r>
      <w:r w:rsidRPr="009D5686">
        <w:rPr>
          <w:rFonts w:ascii="Tahoma" w:hAnsi="Tahoma"/>
          <w:color w:val="262626"/>
          <w:sz w:val="20"/>
        </w:rPr>
        <w:t xml:space="preserve">. Programma’s die enkel aandacht hebben voor individueel gedrag hebben minder kans om effectief te zijn dan diegene die ook omgevingsfactoren aanpakken. </w:t>
      </w:r>
      <w:r w:rsidR="0030081D" w:rsidRPr="009D5686">
        <w:rPr>
          <w:rFonts w:ascii="Tahoma" w:hAnsi="Tahoma"/>
          <w:color w:val="262626"/>
          <w:sz w:val="20"/>
        </w:rPr>
        <w:t xml:space="preserve">Ook dient aandacht te gaan naar de structurele factoren </w:t>
      </w:r>
      <w:r w:rsidRPr="009D5686">
        <w:rPr>
          <w:rFonts w:ascii="Tahoma" w:hAnsi="Tahoma"/>
          <w:color w:val="262626"/>
          <w:sz w:val="20"/>
        </w:rPr>
        <w:t xml:space="preserve">voor welbevinden (zoals </w:t>
      </w:r>
      <w:r w:rsidR="0030081D" w:rsidRPr="009D5686">
        <w:rPr>
          <w:rFonts w:ascii="Tahoma" w:hAnsi="Tahoma"/>
          <w:color w:val="262626"/>
          <w:sz w:val="20"/>
        </w:rPr>
        <w:t>uitbouw van zorgnetwerk, doorverwijzing, …)</w:t>
      </w:r>
      <w:r w:rsidRPr="009D5686">
        <w:rPr>
          <w:rFonts w:ascii="Tahoma" w:hAnsi="Tahoma"/>
          <w:color w:val="262626"/>
          <w:sz w:val="20"/>
        </w:rPr>
        <w:t xml:space="preserve">. </w:t>
      </w:r>
    </w:p>
    <w:p w:rsidR="001F6151" w:rsidRPr="009D5686" w:rsidRDefault="001F6151" w:rsidP="001F6151">
      <w:pPr>
        <w:spacing w:after="0" w:line="240" w:lineRule="auto"/>
        <w:ind w:left="708"/>
        <w:rPr>
          <w:rFonts w:ascii="Tahoma" w:hAnsi="Tahoma"/>
          <w:color w:val="262626"/>
          <w:sz w:val="20"/>
        </w:rPr>
      </w:pPr>
    </w:p>
    <w:p w:rsidR="001F6151" w:rsidRPr="009D5686" w:rsidRDefault="001F6151" w:rsidP="001F6151">
      <w:pPr>
        <w:numPr>
          <w:ilvl w:val="0"/>
          <w:numId w:val="1"/>
        </w:numPr>
        <w:spacing w:after="0" w:line="240" w:lineRule="auto"/>
        <w:jc w:val="both"/>
        <w:rPr>
          <w:rFonts w:ascii="Tahoma" w:hAnsi="Tahoma"/>
          <w:color w:val="262626"/>
          <w:sz w:val="20"/>
        </w:rPr>
      </w:pPr>
      <w:r w:rsidRPr="009D5686">
        <w:rPr>
          <w:rFonts w:ascii="Tahoma" w:hAnsi="Tahoma"/>
          <w:b/>
          <w:color w:val="262626"/>
          <w:sz w:val="20"/>
        </w:rPr>
        <w:t>Gebruik maken van zowel universele als selectieve interventies</w:t>
      </w:r>
      <w:r w:rsidR="0030081D" w:rsidRPr="009D5686">
        <w:rPr>
          <w:rFonts w:ascii="Tahoma" w:hAnsi="Tahoma"/>
          <w:color w:val="262626"/>
          <w:sz w:val="20"/>
        </w:rPr>
        <w:t>: D</w:t>
      </w:r>
      <w:r w:rsidRPr="009D5686">
        <w:rPr>
          <w:rFonts w:ascii="Tahoma" w:hAnsi="Tahoma"/>
          <w:color w:val="262626"/>
          <w:sz w:val="20"/>
        </w:rPr>
        <w:t xml:space="preserve">e evidentie spoort aan tot gebruik van universele interventies om de beschermende factoren te verhogen en op maat gemaakte, lange termijn, vroegtijdige interventies voor </w:t>
      </w:r>
      <w:r w:rsidRPr="003167F4">
        <w:rPr>
          <w:rFonts w:ascii="Tahoma" w:eastAsia="Times New Roman" w:hAnsi="Tahoma" w:cs="Tahoma"/>
          <w:color w:val="262626"/>
          <w:sz w:val="20"/>
          <w:szCs w:val="20"/>
        </w:rPr>
        <w:t>hoge</w:t>
      </w:r>
      <w:r w:rsidR="00CB664F">
        <w:rPr>
          <w:rFonts w:ascii="Tahoma" w:eastAsia="Times New Roman" w:hAnsi="Tahoma" w:cs="Tahoma"/>
          <w:color w:val="262626"/>
          <w:sz w:val="20"/>
          <w:szCs w:val="20"/>
        </w:rPr>
        <w:t xml:space="preserve"> </w:t>
      </w:r>
      <w:r w:rsidRPr="003167F4">
        <w:rPr>
          <w:rFonts w:ascii="Tahoma" w:eastAsia="Times New Roman" w:hAnsi="Tahoma" w:cs="Tahoma"/>
          <w:color w:val="262626"/>
          <w:sz w:val="20"/>
          <w:szCs w:val="20"/>
        </w:rPr>
        <w:t>risico</w:t>
      </w:r>
      <w:r w:rsidR="003167F4" w:rsidRPr="003167F4">
        <w:rPr>
          <w:rFonts w:ascii="Tahoma" w:eastAsia="Times New Roman" w:hAnsi="Tahoma" w:cs="Tahoma"/>
          <w:color w:val="262626"/>
          <w:sz w:val="20"/>
          <w:szCs w:val="20"/>
        </w:rPr>
        <w:t xml:space="preserve"> </w:t>
      </w:r>
      <w:r w:rsidRPr="003167F4">
        <w:rPr>
          <w:rFonts w:ascii="Tahoma" w:eastAsia="Times New Roman" w:hAnsi="Tahoma" w:cs="Tahoma"/>
          <w:color w:val="262626"/>
          <w:sz w:val="20"/>
          <w:szCs w:val="20"/>
        </w:rPr>
        <w:t>populaties</w:t>
      </w:r>
      <w:r w:rsidRPr="009D5686">
        <w:rPr>
          <w:rFonts w:ascii="Tahoma" w:hAnsi="Tahoma"/>
          <w:color w:val="262626"/>
          <w:sz w:val="20"/>
        </w:rPr>
        <w:t>.</w:t>
      </w:r>
    </w:p>
    <w:p w:rsidR="00966E38" w:rsidRDefault="00966E38" w:rsidP="00404659">
      <w:pPr>
        <w:rPr>
          <w:b/>
          <w:i/>
          <w:color w:val="0070C0"/>
        </w:rPr>
      </w:pPr>
    </w:p>
    <w:p w:rsidR="009D5686" w:rsidRDefault="009D5686" w:rsidP="00404659">
      <w:pPr>
        <w:rPr>
          <w:b/>
          <w:i/>
          <w:color w:val="0070C0"/>
        </w:rPr>
      </w:pPr>
    </w:p>
    <w:p w:rsidR="00404659" w:rsidRPr="009D5686" w:rsidRDefault="00404659" w:rsidP="00404659">
      <w:pPr>
        <w:rPr>
          <w:rFonts w:ascii="Tahoma" w:hAnsi="Tahoma"/>
          <w:b/>
          <w:i/>
          <w:color w:val="0070C0"/>
        </w:rPr>
      </w:pPr>
      <w:r w:rsidRPr="009D5686">
        <w:rPr>
          <w:rFonts w:ascii="Tahoma" w:hAnsi="Tahoma"/>
          <w:b/>
          <w:i/>
          <w:color w:val="0070C0"/>
        </w:rPr>
        <w:lastRenderedPageBreak/>
        <w:t>G</w:t>
      </w:r>
      <w:r w:rsidR="00CB664F">
        <w:rPr>
          <w:rFonts w:ascii="Tahoma" w:hAnsi="Tahoma"/>
          <w:b/>
          <w:i/>
          <w:color w:val="0070C0"/>
        </w:rPr>
        <w:t xml:space="preserve">eestelijke gezondheidsbevordering </w:t>
      </w:r>
      <w:r w:rsidRPr="009D5686">
        <w:rPr>
          <w:rFonts w:ascii="Tahoma" w:hAnsi="Tahoma"/>
          <w:b/>
          <w:i/>
          <w:color w:val="0070C0"/>
        </w:rPr>
        <w:t xml:space="preserve">werkt! </w:t>
      </w:r>
    </w:p>
    <w:p w:rsidR="0030081D" w:rsidRPr="009D5686" w:rsidRDefault="0030081D" w:rsidP="0030081D">
      <w:pPr>
        <w:spacing w:after="0" w:line="240" w:lineRule="auto"/>
        <w:jc w:val="both"/>
        <w:rPr>
          <w:rFonts w:ascii="Tahoma" w:hAnsi="Tahoma"/>
          <w:color w:val="262626"/>
          <w:sz w:val="20"/>
        </w:rPr>
      </w:pPr>
      <w:r w:rsidRPr="009D5686">
        <w:rPr>
          <w:rFonts w:ascii="Tahoma" w:hAnsi="Tahoma"/>
          <w:color w:val="262626"/>
          <w:sz w:val="20"/>
        </w:rPr>
        <w:t xml:space="preserve">GGB is een vrij nieuw studiegebied. De evidentie m.b.t. effectiviteit van GGB is </w:t>
      </w:r>
      <w:r w:rsidR="0043344B" w:rsidRPr="009D5686">
        <w:rPr>
          <w:rFonts w:ascii="Tahoma" w:hAnsi="Tahoma"/>
          <w:color w:val="262626"/>
          <w:sz w:val="20"/>
        </w:rPr>
        <w:t>alsnog beperkt</w:t>
      </w:r>
      <w:r w:rsidR="00727A8E">
        <w:rPr>
          <w:rFonts w:ascii="Tahoma" w:hAnsi="Tahoma"/>
          <w:color w:val="262626"/>
          <w:sz w:val="20"/>
        </w:rPr>
        <w:t>,</w:t>
      </w:r>
      <w:r w:rsidRPr="009D5686">
        <w:rPr>
          <w:rFonts w:ascii="Tahoma" w:hAnsi="Tahoma"/>
          <w:color w:val="262626"/>
          <w:sz w:val="20"/>
        </w:rPr>
        <w:t xml:space="preserve"> gezien de determinant</w:t>
      </w:r>
      <w:r w:rsidR="0043344B" w:rsidRPr="009D5686">
        <w:rPr>
          <w:rFonts w:ascii="Tahoma" w:hAnsi="Tahoma"/>
          <w:color w:val="262626"/>
          <w:sz w:val="20"/>
        </w:rPr>
        <w:t>en van geestelijke gezondheid (</w:t>
      </w:r>
      <w:r w:rsidRPr="009D5686">
        <w:rPr>
          <w:rFonts w:ascii="Tahoma" w:hAnsi="Tahoma"/>
          <w:color w:val="262626"/>
          <w:sz w:val="20"/>
        </w:rPr>
        <w:t xml:space="preserve">zoals genetische, biologische, psychologische, gedragsmatige, omgevings-, sociale, economische, en culturele factoren) veelal in complexe interacties vervat zitten. </w:t>
      </w:r>
      <w:r w:rsidR="00727A8E">
        <w:rPr>
          <w:rFonts w:ascii="Tahoma" w:hAnsi="Tahoma"/>
          <w:color w:val="262626"/>
          <w:sz w:val="20"/>
        </w:rPr>
        <w:t>Z</w:t>
      </w:r>
      <w:r w:rsidRPr="009D5686">
        <w:rPr>
          <w:rFonts w:ascii="Tahoma" w:hAnsi="Tahoma"/>
          <w:color w:val="262626"/>
          <w:sz w:val="20"/>
        </w:rPr>
        <w:t xml:space="preserve">e laten zich moeilijk van elkaar onderscheiden en zijn moeilijk meetbaar in gecontroleerde onderzoekscondities. Daarnaast is het ook makkelijker evidentie te vinden voor individuele gedragsverandering i.p.v. gemeenschapscapaciteit of structurele verandering. Ook is effectiviteit vaak gebaseerd op uitkomstmaten op gezondheidsniveau en wordt het resultaat </w:t>
      </w:r>
      <w:r w:rsidR="0043344B" w:rsidRPr="009D5686">
        <w:rPr>
          <w:rFonts w:ascii="Tahoma" w:hAnsi="Tahoma"/>
          <w:color w:val="262626"/>
          <w:sz w:val="20"/>
        </w:rPr>
        <w:t>van</w:t>
      </w:r>
      <w:r w:rsidRPr="009D5686">
        <w:rPr>
          <w:rFonts w:ascii="Tahoma" w:hAnsi="Tahoma"/>
          <w:color w:val="262626"/>
          <w:sz w:val="20"/>
        </w:rPr>
        <w:t xml:space="preserve"> GGB vaak pas jaren later duidelijk. </w:t>
      </w:r>
    </w:p>
    <w:p w:rsidR="00B44336" w:rsidRPr="003167F4" w:rsidRDefault="00B44336" w:rsidP="003167F4">
      <w:pPr>
        <w:spacing w:after="0" w:line="240" w:lineRule="auto"/>
        <w:jc w:val="both"/>
        <w:rPr>
          <w:rFonts w:ascii="Tahoma" w:eastAsia="Times New Roman" w:hAnsi="Tahoma" w:cs="Tahoma"/>
          <w:color w:val="262626"/>
          <w:sz w:val="20"/>
          <w:szCs w:val="20"/>
        </w:rPr>
      </w:pPr>
      <w:r w:rsidRPr="003167F4">
        <w:rPr>
          <w:rFonts w:ascii="Tahoma" w:eastAsia="Times New Roman" w:hAnsi="Tahoma" w:cs="Tahoma"/>
          <w:color w:val="262626"/>
          <w:sz w:val="20"/>
          <w:szCs w:val="20"/>
        </w:rPr>
        <w:t>Maar ‘afwezigheid</w:t>
      </w:r>
      <w:r w:rsidRPr="009D5686">
        <w:rPr>
          <w:rFonts w:ascii="Tahoma" w:hAnsi="Tahoma"/>
          <w:color w:val="262626"/>
          <w:sz w:val="20"/>
        </w:rPr>
        <w:t xml:space="preserve"> van </w:t>
      </w:r>
      <w:r w:rsidRPr="003167F4">
        <w:rPr>
          <w:rFonts w:ascii="Tahoma" w:eastAsia="Times New Roman" w:hAnsi="Tahoma" w:cs="Tahoma"/>
          <w:color w:val="262626"/>
          <w:sz w:val="20"/>
          <w:szCs w:val="20"/>
        </w:rPr>
        <w:t>bewijs’ moet</w:t>
      </w:r>
      <w:r w:rsidRPr="009D5686">
        <w:rPr>
          <w:rFonts w:ascii="Tahoma" w:hAnsi="Tahoma"/>
          <w:color w:val="262626"/>
          <w:sz w:val="20"/>
        </w:rPr>
        <w:t xml:space="preserve"> niet </w:t>
      </w:r>
      <w:r w:rsidRPr="003167F4">
        <w:rPr>
          <w:rFonts w:ascii="Tahoma" w:eastAsia="Times New Roman" w:hAnsi="Tahoma" w:cs="Tahoma"/>
          <w:color w:val="262626"/>
          <w:sz w:val="20"/>
          <w:szCs w:val="20"/>
        </w:rPr>
        <w:t>begrepen worden</w:t>
      </w:r>
      <w:r w:rsidRPr="009D5686">
        <w:rPr>
          <w:rFonts w:ascii="Tahoma" w:hAnsi="Tahoma"/>
          <w:color w:val="262626"/>
          <w:sz w:val="20"/>
        </w:rPr>
        <w:t xml:space="preserve"> als </w:t>
      </w:r>
      <w:r w:rsidRPr="003167F4">
        <w:rPr>
          <w:rFonts w:ascii="Tahoma" w:eastAsia="Times New Roman" w:hAnsi="Tahoma" w:cs="Tahoma"/>
          <w:color w:val="262626"/>
          <w:sz w:val="20"/>
          <w:szCs w:val="20"/>
        </w:rPr>
        <w:t>‘</w:t>
      </w:r>
      <w:r w:rsidRPr="009D5686">
        <w:rPr>
          <w:rFonts w:ascii="Tahoma" w:hAnsi="Tahoma"/>
          <w:color w:val="262626"/>
          <w:sz w:val="20"/>
        </w:rPr>
        <w:t xml:space="preserve">bewijs van </w:t>
      </w:r>
      <w:r w:rsidRPr="003167F4">
        <w:rPr>
          <w:rFonts w:ascii="Tahoma" w:eastAsia="Times New Roman" w:hAnsi="Tahoma" w:cs="Tahoma"/>
          <w:color w:val="262626"/>
          <w:sz w:val="20"/>
          <w:szCs w:val="20"/>
        </w:rPr>
        <w:t>afwezigheid’ en van plausibele interventies kan redelijkerwijs verwacht worden dat ze GG-winst op leveren.</w:t>
      </w:r>
    </w:p>
    <w:p w:rsidR="003167F4" w:rsidRPr="003167F4" w:rsidRDefault="003167F4" w:rsidP="003167F4">
      <w:pPr>
        <w:spacing w:after="0" w:line="240" w:lineRule="auto"/>
        <w:jc w:val="both"/>
        <w:rPr>
          <w:rFonts w:ascii="Tahoma" w:eastAsia="Times New Roman" w:hAnsi="Tahoma" w:cs="Tahoma"/>
          <w:color w:val="262626"/>
          <w:sz w:val="20"/>
          <w:szCs w:val="20"/>
        </w:rPr>
      </w:pPr>
    </w:p>
    <w:p w:rsidR="0043344B" w:rsidRPr="003167F4" w:rsidRDefault="0043344B" w:rsidP="0030081D">
      <w:pPr>
        <w:spacing w:after="0" w:line="240" w:lineRule="auto"/>
        <w:jc w:val="both"/>
        <w:rPr>
          <w:rFonts w:ascii="Tahoma" w:eastAsia="Times New Roman" w:hAnsi="Tahoma" w:cs="Tahoma"/>
          <w:color w:val="262626"/>
          <w:sz w:val="20"/>
          <w:szCs w:val="20"/>
        </w:rPr>
      </w:pPr>
    </w:p>
    <w:p w:rsidR="0043344B" w:rsidRPr="009D5686" w:rsidRDefault="0043344B" w:rsidP="0030081D">
      <w:pPr>
        <w:spacing w:after="0" w:line="240" w:lineRule="auto"/>
        <w:jc w:val="both"/>
        <w:rPr>
          <w:rFonts w:ascii="Tahoma" w:hAnsi="Tahoma"/>
          <w:color w:val="262626"/>
          <w:sz w:val="20"/>
        </w:rPr>
      </w:pPr>
      <w:r w:rsidRPr="009D5686">
        <w:rPr>
          <w:rFonts w:ascii="Tahoma" w:hAnsi="Tahoma"/>
          <w:color w:val="262626"/>
          <w:sz w:val="20"/>
        </w:rPr>
        <w:t xml:space="preserve">De belangrijkste resultaten van de recente effectiviteitsreview GGB zijn terug te vinden in een aantal </w:t>
      </w:r>
      <w:proofErr w:type="spellStart"/>
      <w:r w:rsidRPr="009D5686">
        <w:rPr>
          <w:rFonts w:ascii="Tahoma" w:hAnsi="Tahoma"/>
          <w:color w:val="262626"/>
          <w:sz w:val="20"/>
        </w:rPr>
        <w:t>factsheets</w:t>
      </w:r>
      <w:proofErr w:type="spellEnd"/>
      <w:r w:rsidRPr="009D5686">
        <w:rPr>
          <w:rFonts w:ascii="Tahoma" w:hAnsi="Tahoma"/>
          <w:color w:val="262626"/>
          <w:sz w:val="20"/>
        </w:rPr>
        <w:t>:</w:t>
      </w:r>
    </w:p>
    <w:p w:rsidR="0043344B" w:rsidRPr="009D5686" w:rsidRDefault="0043344B" w:rsidP="0030081D">
      <w:pPr>
        <w:spacing w:after="0" w:line="240" w:lineRule="auto"/>
        <w:jc w:val="both"/>
        <w:rPr>
          <w:rFonts w:ascii="Tahoma" w:hAnsi="Tahoma"/>
          <w:color w:val="262626"/>
          <w:sz w:val="20"/>
        </w:rPr>
      </w:pPr>
    </w:p>
    <w:p w:rsidR="0043344B" w:rsidRPr="009D5686" w:rsidRDefault="0043344B" w:rsidP="00966E38">
      <w:pPr>
        <w:pStyle w:val="Lijstalinea"/>
        <w:numPr>
          <w:ilvl w:val="0"/>
          <w:numId w:val="2"/>
        </w:numPr>
        <w:spacing w:after="0" w:line="240" w:lineRule="auto"/>
        <w:jc w:val="both"/>
        <w:rPr>
          <w:rFonts w:ascii="Tahoma" w:hAnsi="Tahoma"/>
          <w:color w:val="262626"/>
          <w:sz w:val="20"/>
        </w:rPr>
      </w:pPr>
      <w:proofErr w:type="spellStart"/>
      <w:r w:rsidRPr="009D5686">
        <w:rPr>
          <w:rFonts w:ascii="Tahoma" w:hAnsi="Tahoma"/>
          <w:color w:val="262626"/>
          <w:sz w:val="20"/>
        </w:rPr>
        <w:t>Factsheet</w:t>
      </w:r>
      <w:proofErr w:type="spellEnd"/>
      <w:r w:rsidRPr="009D5686">
        <w:rPr>
          <w:rFonts w:ascii="Tahoma" w:hAnsi="Tahoma"/>
          <w:color w:val="262626"/>
          <w:sz w:val="20"/>
        </w:rPr>
        <w:t xml:space="preserve"> Eerste levensjaren (0-6jaar)</w:t>
      </w:r>
    </w:p>
    <w:p w:rsidR="0043344B" w:rsidRPr="009D5686" w:rsidRDefault="0043344B" w:rsidP="00966E38">
      <w:pPr>
        <w:pStyle w:val="Lijstalinea"/>
        <w:numPr>
          <w:ilvl w:val="0"/>
          <w:numId w:val="2"/>
        </w:numPr>
        <w:spacing w:after="0" w:line="240" w:lineRule="auto"/>
        <w:jc w:val="both"/>
        <w:rPr>
          <w:rFonts w:ascii="Tahoma" w:hAnsi="Tahoma"/>
          <w:color w:val="262626"/>
          <w:sz w:val="20"/>
        </w:rPr>
      </w:pPr>
      <w:proofErr w:type="spellStart"/>
      <w:r w:rsidRPr="009D5686">
        <w:rPr>
          <w:rFonts w:ascii="Tahoma" w:hAnsi="Tahoma"/>
          <w:color w:val="262626"/>
          <w:sz w:val="20"/>
        </w:rPr>
        <w:t>Factsheet</w:t>
      </w:r>
      <w:proofErr w:type="spellEnd"/>
      <w:r w:rsidRPr="009D5686">
        <w:rPr>
          <w:rFonts w:ascii="Tahoma" w:hAnsi="Tahoma"/>
          <w:color w:val="262626"/>
          <w:sz w:val="20"/>
        </w:rPr>
        <w:t xml:space="preserve"> Jeugdjaren (6-20jaar)</w:t>
      </w:r>
    </w:p>
    <w:p w:rsidR="0043344B" w:rsidRPr="009D5686" w:rsidRDefault="0043344B" w:rsidP="00966E38">
      <w:pPr>
        <w:pStyle w:val="Lijstalinea"/>
        <w:numPr>
          <w:ilvl w:val="0"/>
          <w:numId w:val="2"/>
        </w:numPr>
        <w:spacing w:after="0" w:line="240" w:lineRule="auto"/>
        <w:jc w:val="both"/>
        <w:rPr>
          <w:rFonts w:ascii="Tahoma" w:hAnsi="Tahoma"/>
          <w:color w:val="262626"/>
          <w:sz w:val="20"/>
        </w:rPr>
      </w:pPr>
      <w:proofErr w:type="spellStart"/>
      <w:r w:rsidRPr="009D5686">
        <w:rPr>
          <w:rFonts w:ascii="Tahoma" w:hAnsi="Tahoma"/>
          <w:color w:val="262626"/>
          <w:sz w:val="20"/>
        </w:rPr>
        <w:t>Factsheet</w:t>
      </w:r>
      <w:proofErr w:type="spellEnd"/>
      <w:r w:rsidRPr="009D5686">
        <w:rPr>
          <w:rFonts w:ascii="Tahoma" w:hAnsi="Tahoma"/>
          <w:color w:val="262626"/>
          <w:sz w:val="20"/>
        </w:rPr>
        <w:t xml:space="preserve"> Volwassenen (20-60jaar)</w:t>
      </w:r>
    </w:p>
    <w:p w:rsidR="0043344B" w:rsidRPr="009D5686" w:rsidRDefault="0043344B" w:rsidP="00966E38">
      <w:pPr>
        <w:pStyle w:val="Lijstalinea"/>
        <w:numPr>
          <w:ilvl w:val="0"/>
          <w:numId w:val="2"/>
        </w:numPr>
        <w:spacing w:after="0" w:line="240" w:lineRule="auto"/>
        <w:jc w:val="both"/>
        <w:rPr>
          <w:rFonts w:ascii="Tahoma" w:hAnsi="Tahoma"/>
          <w:color w:val="262626"/>
          <w:sz w:val="20"/>
        </w:rPr>
      </w:pPr>
      <w:proofErr w:type="spellStart"/>
      <w:r w:rsidRPr="009D5686">
        <w:rPr>
          <w:rFonts w:ascii="Tahoma" w:hAnsi="Tahoma"/>
          <w:color w:val="262626"/>
          <w:sz w:val="20"/>
        </w:rPr>
        <w:t>Factsheet</w:t>
      </w:r>
      <w:proofErr w:type="spellEnd"/>
      <w:r w:rsidRPr="009D5686">
        <w:rPr>
          <w:rFonts w:ascii="Tahoma" w:hAnsi="Tahoma"/>
          <w:color w:val="262626"/>
          <w:sz w:val="20"/>
        </w:rPr>
        <w:t xml:space="preserve"> Ouderen (60+) </w:t>
      </w:r>
    </w:p>
    <w:p w:rsidR="00966E38" w:rsidRPr="009D5686" w:rsidRDefault="00966E38" w:rsidP="00966E38">
      <w:pPr>
        <w:spacing w:after="0" w:line="240" w:lineRule="auto"/>
        <w:jc w:val="both"/>
        <w:rPr>
          <w:rFonts w:ascii="Tahoma" w:hAnsi="Tahoma"/>
          <w:color w:val="262626"/>
          <w:sz w:val="20"/>
        </w:rPr>
      </w:pPr>
    </w:p>
    <w:p w:rsidR="00966E38" w:rsidRPr="009D5686" w:rsidRDefault="00966E38" w:rsidP="00966E38">
      <w:pPr>
        <w:spacing w:after="0" w:line="240" w:lineRule="auto"/>
        <w:jc w:val="both"/>
        <w:rPr>
          <w:rFonts w:ascii="Tahoma" w:hAnsi="Tahoma"/>
          <w:color w:val="262626"/>
          <w:sz w:val="20"/>
        </w:rPr>
      </w:pPr>
      <w:r w:rsidRPr="009D5686">
        <w:rPr>
          <w:rFonts w:ascii="Tahoma" w:hAnsi="Tahoma"/>
          <w:color w:val="262626"/>
          <w:sz w:val="20"/>
        </w:rPr>
        <w:t>Hierbij dient opgemerkt te worden dat de leeftijdsgrenzen slechts een indicatie zijn om de 4 grote levensfasen te markeren.</w:t>
      </w:r>
      <w:r w:rsidR="00B44336" w:rsidRPr="003167F4">
        <w:rPr>
          <w:rFonts w:ascii="Tahoma" w:eastAsia="Times New Roman" w:hAnsi="Tahoma" w:cs="Tahoma"/>
          <w:color w:val="262626"/>
          <w:sz w:val="20"/>
          <w:szCs w:val="20"/>
        </w:rPr>
        <w:t xml:space="preserve"> Het hanteren van de chronologische leeftijd is niet altijd even nuttig om de functionele of gezondheidsleeftijd in te schatten en er zijn grote individuele verschillen.</w:t>
      </w:r>
    </w:p>
    <w:p w:rsidR="003167F4" w:rsidRPr="009D5686" w:rsidRDefault="003167F4" w:rsidP="009D5686">
      <w:pPr>
        <w:spacing w:after="0" w:line="240" w:lineRule="auto"/>
        <w:jc w:val="both"/>
        <w:rPr>
          <w:rFonts w:ascii="Tahoma" w:hAnsi="Tahoma"/>
          <w:color w:val="262626"/>
          <w:sz w:val="20"/>
        </w:rPr>
      </w:pPr>
    </w:p>
    <w:p w:rsidR="003167F4" w:rsidRPr="009D5686" w:rsidRDefault="003167F4" w:rsidP="003167F4">
      <w:pPr>
        <w:spacing w:after="0" w:line="240" w:lineRule="auto"/>
        <w:jc w:val="both"/>
        <w:rPr>
          <w:rFonts w:ascii="Tahoma" w:hAnsi="Tahoma"/>
          <w:color w:val="262626"/>
          <w:sz w:val="20"/>
        </w:rPr>
      </w:pPr>
      <w:r w:rsidRPr="009D5686">
        <w:rPr>
          <w:rFonts w:ascii="Tahoma" w:hAnsi="Tahoma"/>
          <w:color w:val="262626"/>
          <w:sz w:val="20"/>
        </w:rPr>
        <w:t xml:space="preserve">De interventies worden ingedeeld als zijnde effectief (waarvoor m.a.w. robuuste wetenschappelijke onderbouwing vanuit </w:t>
      </w:r>
      <w:proofErr w:type="spellStart"/>
      <w:r w:rsidRPr="009D5686">
        <w:rPr>
          <w:rFonts w:ascii="Tahoma" w:hAnsi="Tahoma"/>
          <w:color w:val="262626"/>
          <w:sz w:val="20"/>
        </w:rPr>
        <w:t>controlled</w:t>
      </w:r>
      <w:proofErr w:type="spellEnd"/>
      <w:r w:rsidRPr="009D5686">
        <w:rPr>
          <w:rFonts w:ascii="Tahoma" w:hAnsi="Tahoma"/>
          <w:color w:val="262626"/>
          <w:sz w:val="20"/>
        </w:rPr>
        <w:t xml:space="preserve"> trials aanwezig is) en veelbelovend (waarvoor nog niet voldoende wetenschappelijke evidentie beschikbaar is om eensluidende besluiten te kunnen trekken).</w:t>
      </w:r>
    </w:p>
    <w:p w:rsidR="00966E38" w:rsidRPr="009D5686" w:rsidRDefault="00966E38" w:rsidP="00966E38">
      <w:pPr>
        <w:spacing w:after="0" w:line="240" w:lineRule="auto"/>
        <w:jc w:val="both"/>
        <w:rPr>
          <w:rFonts w:ascii="Tahoma" w:hAnsi="Tahoma"/>
          <w:color w:val="262626"/>
          <w:sz w:val="20"/>
        </w:rPr>
      </w:pPr>
    </w:p>
    <w:p w:rsidR="00966E38" w:rsidRPr="009D5686" w:rsidRDefault="00966E38" w:rsidP="00966E38">
      <w:pPr>
        <w:spacing w:after="0" w:line="240" w:lineRule="auto"/>
        <w:jc w:val="both"/>
        <w:rPr>
          <w:rFonts w:ascii="Tahoma" w:hAnsi="Tahoma"/>
          <w:color w:val="262626"/>
          <w:sz w:val="20"/>
        </w:rPr>
      </w:pPr>
      <w:r w:rsidRPr="009D5686">
        <w:rPr>
          <w:rFonts w:ascii="Tahoma" w:hAnsi="Tahoma"/>
          <w:color w:val="262626"/>
          <w:sz w:val="20"/>
        </w:rPr>
        <w:t>Op basis van de review werd ook een model van de beschermende en risico</w:t>
      </w:r>
      <w:r w:rsidR="00CB664F">
        <w:rPr>
          <w:rFonts w:ascii="Tahoma" w:hAnsi="Tahoma"/>
          <w:color w:val="262626"/>
          <w:sz w:val="20"/>
        </w:rPr>
        <w:t xml:space="preserve"> </w:t>
      </w:r>
      <w:r w:rsidRPr="009D5686">
        <w:rPr>
          <w:rFonts w:ascii="Tahoma" w:hAnsi="Tahoma"/>
          <w:color w:val="262626"/>
          <w:sz w:val="20"/>
        </w:rPr>
        <w:t>factoren voor geestelijke gezondheid opgesteld.</w:t>
      </w:r>
    </w:p>
    <w:p w:rsidR="00966E38" w:rsidRPr="009D5686" w:rsidRDefault="00966E38" w:rsidP="00966E38">
      <w:pPr>
        <w:spacing w:after="0" w:line="240" w:lineRule="auto"/>
        <w:jc w:val="both"/>
        <w:rPr>
          <w:rFonts w:ascii="Tahoma" w:hAnsi="Tahoma"/>
          <w:color w:val="262626"/>
          <w:sz w:val="20"/>
        </w:rPr>
      </w:pPr>
    </w:p>
    <w:p w:rsidR="00966E38" w:rsidRPr="00966E38" w:rsidRDefault="00966E38" w:rsidP="00966E38">
      <w:pPr>
        <w:spacing w:after="0" w:line="240" w:lineRule="auto"/>
        <w:jc w:val="both"/>
        <w:rPr>
          <w:rFonts w:ascii="Tahoma" w:eastAsia="Times New Roman" w:hAnsi="Tahoma" w:cs="Tahoma"/>
          <w:b/>
          <w:i/>
          <w:color w:val="666366"/>
          <w:lang w:val="en-ZA"/>
        </w:rPr>
      </w:pPr>
      <w:r w:rsidRPr="00966E38">
        <w:rPr>
          <w:rFonts w:ascii="Tahoma" w:eastAsia="Times New Roman" w:hAnsi="Tahoma" w:cs="Tahoma"/>
          <w:b/>
          <w:i/>
          <w:color w:val="666366"/>
          <w:lang w:val="en-ZA"/>
        </w:rPr>
        <w:t>BRONNEN</w:t>
      </w:r>
    </w:p>
    <w:p w:rsidR="00966E38" w:rsidRPr="00966E38" w:rsidRDefault="00966E38" w:rsidP="00966E38">
      <w:pPr>
        <w:spacing w:after="0" w:line="240" w:lineRule="auto"/>
        <w:jc w:val="both"/>
        <w:rPr>
          <w:rFonts w:ascii="Tahoma" w:eastAsia="Times New Roman" w:hAnsi="Tahoma" w:cs="Tahoma"/>
          <w:i/>
          <w:color w:val="666366"/>
          <w:sz w:val="20"/>
          <w:szCs w:val="20"/>
          <w:lang w:val="en-ZA"/>
        </w:rPr>
      </w:pPr>
    </w:p>
    <w:p w:rsidR="00966E38" w:rsidRPr="00966E38" w:rsidRDefault="00966E38" w:rsidP="00966E38">
      <w:pPr>
        <w:spacing w:after="0" w:line="240" w:lineRule="auto"/>
        <w:jc w:val="both"/>
        <w:rPr>
          <w:rFonts w:ascii="Tahoma" w:eastAsia="Times New Roman" w:hAnsi="Tahoma" w:cs="Tahoma"/>
          <w:i/>
          <w:color w:val="666366"/>
          <w:sz w:val="18"/>
          <w:szCs w:val="18"/>
          <w:lang w:val="en-ZA"/>
        </w:rPr>
      </w:pPr>
      <w:r w:rsidRPr="00966E38">
        <w:rPr>
          <w:rFonts w:ascii="Tahoma" w:eastAsia="Times New Roman" w:hAnsi="Tahoma" w:cs="Tahoma"/>
          <w:i/>
          <w:color w:val="666366"/>
          <w:sz w:val="18"/>
          <w:szCs w:val="18"/>
          <w:lang w:val="en-ZA"/>
        </w:rPr>
        <w:t>Balfour (2007). Evidence Review: Mental Health Promotion. CORE Population Health and Wellness, BC Ministry of health</w:t>
      </w:r>
    </w:p>
    <w:p w:rsidR="00966E38" w:rsidRPr="00966E38" w:rsidRDefault="00966E38" w:rsidP="00966E38">
      <w:pPr>
        <w:spacing w:after="0" w:line="240" w:lineRule="auto"/>
        <w:jc w:val="both"/>
        <w:rPr>
          <w:rFonts w:ascii="Tahoma" w:eastAsia="Times New Roman" w:hAnsi="Tahoma" w:cs="Tahoma"/>
          <w:i/>
          <w:color w:val="666366"/>
          <w:sz w:val="16"/>
          <w:szCs w:val="16"/>
          <w:lang w:val="en-ZA"/>
        </w:rPr>
      </w:pPr>
    </w:p>
    <w:p w:rsidR="00966E38" w:rsidRPr="00966E38" w:rsidRDefault="00966E38" w:rsidP="00966E38">
      <w:pPr>
        <w:spacing w:after="0" w:line="240" w:lineRule="auto"/>
        <w:jc w:val="both"/>
        <w:rPr>
          <w:rFonts w:ascii="Tahoma" w:eastAsia="Times New Roman" w:hAnsi="Tahoma" w:cs="Tahoma"/>
          <w:i/>
          <w:color w:val="666366"/>
          <w:sz w:val="18"/>
          <w:szCs w:val="18"/>
          <w:lang w:val="en-US" w:eastAsia="nl-BE"/>
        </w:rPr>
      </w:pPr>
      <w:r w:rsidRPr="00966E38">
        <w:rPr>
          <w:rFonts w:ascii="Tahoma" w:eastAsia="Times New Roman" w:hAnsi="Tahoma" w:cs="Tahoma"/>
          <w:i/>
          <w:color w:val="666366"/>
          <w:sz w:val="18"/>
          <w:szCs w:val="18"/>
          <w:lang w:val="en-US" w:eastAsia="nl-BE"/>
        </w:rPr>
        <w:t xml:space="preserve">Barry, M.M. (2001). Promoting Mental Health: Theoretical Frameworks for Practice. International Journal of mental Health Promotion, </w:t>
      </w:r>
      <w:proofErr w:type="spellStart"/>
      <w:r w:rsidRPr="00966E38">
        <w:rPr>
          <w:rFonts w:ascii="Tahoma" w:eastAsia="Times New Roman" w:hAnsi="Tahoma" w:cs="Tahoma"/>
          <w:i/>
          <w:color w:val="666366"/>
          <w:sz w:val="18"/>
          <w:szCs w:val="18"/>
          <w:lang w:val="en-US" w:eastAsia="nl-BE"/>
        </w:rPr>
        <w:t>Vol</w:t>
      </w:r>
      <w:proofErr w:type="spellEnd"/>
      <w:r w:rsidRPr="00966E38">
        <w:rPr>
          <w:rFonts w:ascii="Tahoma" w:eastAsia="Times New Roman" w:hAnsi="Tahoma" w:cs="Tahoma"/>
          <w:i/>
          <w:color w:val="666366"/>
          <w:sz w:val="18"/>
          <w:szCs w:val="18"/>
          <w:lang w:val="en-US" w:eastAsia="nl-BE"/>
        </w:rPr>
        <w:t xml:space="preserve"> 3:1.</w:t>
      </w:r>
    </w:p>
    <w:p w:rsidR="00966E38" w:rsidRPr="00966E38" w:rsidRDefault="00966E38" w:rsidP="00966E38">
      <w:pPr>
        <w:spacing w:after="0" w:line="240" w:lineRule="auto"/>
        <w:jc w:val="both"/>
        <w:rPr>
          <w:rFonts w:ascii="Tahoma" w:eastAsia="Times New Roman" w:hAnsi="Tahoma" w:cs="Tahoma"/>
          <w:i/>
          <w:color w:val="666366"/>
          <w:sz w:val="16"/>
          <w:szCs w:val="16"/>
          <w:lang w:val="en-US" w:eastAsia="nl-BE"/>
        </w:rPr>
      </w:pPr>
    </w:p>
    <w:p w:rsidR="00966E38" w:rsidRPr="00966E38" w:rsidRDefault="00966E38" w:rsidP="00966E38">
      <w:pPr>
        <w:spacing w:after="0" w:line="240" w:lineRule="auto"/>
        <w:jc w:val="both"/>
        <w:rPr>
          <w:rFonts w:ascii="Tahoma" w:eastAsia="Times New Roman" w:hAnsi="Tahoma" w:cs="Tahoma"/>
          <w:i/>
          <w:color w:val="666366"/>
          <w:sz w:val="18"/>
          <w:szCs w:val="18"/>
          <w:lang w:val="en-US" w:eastAsia="nl-BE"/>
        </w:rPr>
      </w:pPr>
      <w:r w:rsidRPr="00966E38">
        <w:rPr>
          <w:rFonts w:ascii="Tahoma" w:eastAsia="Times New Roman" w:hAnsi="Tahoma" w:cs="Tahoma"/>
          <w:i/>
          <w:color w:val="666366"/>
          <w:sz w:val="18"/>
          <w:szCs w:val="18"/>
          <w:lang w:val="en-US" w:eastAsia="nl-BE"/>
        </w:rPr>
        <w:t xml:space="preserve">Barry, M. M. (2009). Addressing the Determinants of Positive Mental Health: Concepts, Evidence and Practice. International Journal of Mental Health Promotion </w:t>
      </w:r>
      <w:r w:rsidRPr="00966E38">
        <w:rPr>
          <w:rFonts w:ascii="Tahoma" w:eastAsia="Times New Roman" w:hAnsi="Tahoma" w:cs="Tahoma"/>
          <w:bCs/>
          <w:i/>
          <w:color w:val="666366"/>
          <w:sz w:val="18"/>
          <w:szCs w:val="18"/>
          <w:lang w:val="en-US" w:eastAsia="nl-BE"/>
        </w:rPr>
        <w:t>11</w:t>
      </w:r>
      <w:r w:rsidRPr="00966E38">
        <w:rPr>
          <w:rFonts w:ascii="Tahoma" w:eastAsia="Times New Roman" w:hAnsi="Tahoma" w:cs="Tahoma"/>
          <w:i/>
          <w:color w:val="666366"/>
          <w:sz w:val="18"/>
          <w:szCs w:val="18"/>
          <w:lang w:val="en-US" w:eastAsia="nl-BE"/>
        </w:rPr>
        <w:t>(3): 4-17.</w:t>
      </w:r>
    </w:p>
    <w:p w:rsidR="00966E38" w:rsidRPr="00A915E9" w:rsidRDefault="00966E38" w:rsidP="00966E38">
      <w:pPr>
        <w:spacing w:after="0" w:line="240" w:lineRule="auto"/>
        <w:jc w:val="both"/>
        <w:rPr>
          <w:rFonts w:ascii="Tahoma" w:eastAsia="Times New Roman" w:hAnsi="Tahoma" w:cs="Tahoma"/>
          <w:color w:val="666366"/>
          <w:sz w:val="16"/>
          <w:szCs w:val="16"/>
          <w:lang w:val="en-US"/>
        </w:rPr>
      </w:pPr>
    </w:p>
    <w:p w:rsidR="00966E38" w:rsidRPr="00966E38" w:rsidRDefault="00966E38" w:rsidP="00966E38">
      <w:pPr>
        <w:spacing w:after="0" w:line="240" w:lineRule="auto"/>
        <w:jc w:val="both"/>
        <w:rPr>
          <w:rFonts w:ascii="Tahoma" w:eastAsia="Times New Roman" w:hAnsi="Tahoma" w:cs="Tahoma"/>
          <w:i/>
          <w:color w:val="666366"/>
          <w:sz w:val="18"/>
          <w:szCs w:val="18"/>
          <w:lang w:val="en-ZA"/>
        </w:rPr>
      </w:pPr>
      <w:r w:rsidRPr="00966E38">
        <w:rPr>
          <w:rFonts w:ascii="Tahoma" w:eastAsia="Times New Roman" w:hAnsi="Tahoma" w:cs="Tahoma"/>
          <w:i/>
          <w:color w:val="666366"/>
          <w:sz w:val="18"/>
          <w:szCs w:val="18"/>
          <w:lang w:val="en-ZA"/>
        </w:rPr>
        <w:t xml:space="preserve">Barry, M.M., </w:t>
      </w:r>
      <w:proofErr w:type="spellStart"/>
      <w:r w:rsidRPr="00966E38">
        <w:rPr>
          <w:rFonts w:ascii="Tahoma" w:eastAsia="Times New Roman" w:hAnsi="Tahoma" w:cs="Tahoma"/>
          <w:i/>
          <w:color w:val="666366"/>
          <w:sz w:val="18"/>
          <w:szCs w:val="18"/>
          <w:lang w:val="en-ZA"/>
        </w:rPr>
        <w:t>Canavan</w:t>
      </w:r>
      <w:proofErr w:type="spellEnd"/>
      <w:r w:rsidRPr="00966E38">
        <w:rPr>
          <w:rFonts w:ascii="Tahoma" w:eastAsia="Times New Roman" w:hAnsi="Tahoma" w:cs="Tahoma"/>
          <w:i/>
          <w:color w:val="666366"/>
          <w:sz w:val="18"/>
          <w:szCs w:val="18"/>
          <w:lang w:val="en-ZA"/>
        </w:rPr>
        <w:t>, R., Clarke, A., Dempsey, C., O’Sullivan, M. (2009). Review of Evidence-Based Mental Health Promotion and Primary/Secondary Prevention. Health Promotion Centre, National University of Ireland</w:t>
      </w:r>
    </w:p>
    <w:p w:rsidR="00966E38" w:rsidRPr="00A915E9" w:rsidRDefault="00966E38" w:rsidP="00966E38">
      <w:pPr>
        <w:spacing w:after="0" w:line="240" w:lineRule="auto"/>
        <w:jc w:val="both"/>
        <w:rPr>
          <w:rFonts w:ascii="Tahoma" w:eastAsia="Times New Roman" w:hAnsi="Tahoma" w:cs="Tahoma"/>
          <w:color w:val="666366"/>
          <w:sz w:val="16"/>
          <w:szCs w:val="16"/>
          <w:lang w:val="en-US"/>
        </w:rPr>
      </w:pPr>
    </w:p>
    <w:p w:rsidR="00966E38" w:rsidRPr="00966E38" w:rsidRDefault="00966E38" w:rsidP="00966E38">
      <w:pPr>
        <w:spacing w:after="0" w:line="240" w:lineRule="auto"/>
        <w:jc w:val="both"/>
        <w:rPr>
          <w:rFonts w:ascii="Tahoma" w:eastAsia="Times New Roman" w:hAnsi="Tahoma" w:cs="Tahoma"/>
          <w:i/>
          <w:color w:val="666366"/>
          <w:sz w:val="18"/>
          <w:szCs w:val="18"/>
          <w:lang w:val="en-ZA"/>
        </w:rPr>
      </w:pPr>
      <w:r w:rsidRPr="00966E38">
        <w:rPr>
          <w:rFonts w:ascii="Tahoma" w:eastAsia="Times New Roman" w:hAnsi="Tahoma" w:cs="Tahoma"/>
          <w:i/>
          <w:color w:val="666366"/>
          <w:sz w:val="18"/>
          <w:szCs w:val="18"/>
          <w:lang w:val="en-ZA"/>
        </w:rPr>
        <w:t>Berk, L.E. (2004). Development through the Lifespan. 3</w:t>
      </w:r>
      <w:r w:rsidRPr="00966E38">
        <w:rPr>
          <w:rFonts w:ascii="Tahoma" w:eastAsia="Times New Roman" w:hAnsi="Tahoma" w:cs="Tahoma"/>
          <w:i/>
          <w:color w:val="666366"/>
          <w:sz w:val="18"/>
          <w:szCs w:val="18"/>
          <w:vertAlign w:val="superscript"/>
          <w:lang w:val="en-ZA"/>
        </w:rPr>
        <w:t>rd</w:t>
      </w:r>
      <w:r w:rsidRPr="00966E38">
        <w:rPr>
          <w:rFonts w:ascii="Tahoma" w:eastAsia="Times New Roman" w:hAnsi="Tahoma" w:cs="Tahoma"/>
          <w:i/>
          <w:color w:val="666366"/>
          <w:sz w:val="18"/>
          <w:szCs w:val="18"/>
          <w:lang w:val="en-ZA"/>
        </w:rPr>
        <w:t xml:space="preserve"> Edition. Pearson Education, Inc.</w:t>
      </w:r>
    </w:p>
    <w:p w:rsidR="00966E38" w:rsidRPr="00966E38" w:rsidRDefault="00966E38" w:rsidP="00966E38">
      <w:pPr>
        <w:spacing w:after="0" w:line="240" w:lineRule="auto"/>
        <w:jc w:val="both"/>
        <w:rPr>
          <w:rFonts w:ascii="Tahoma" w:eastAsia="Times New Roman" w:hAnsi="Tahoma" w:cs="Tahoma"/>
          <w:i/>
          <w:color w:val="666366"/>
          <w:sz w:val="16"/>
          <w:szCs w:val="16"/>
          <w:lang w:val="en-ZA"/>
        </w:rPr>
      </w:pPr>
    </w:p>
    <w:p w:rsidR="00966E38" w:rsidRPr="00966E38" w:rsidRDefault="00966E38" w:rsidP="00966E38">
      <w:pPr>
        <w:spacing w:after="0" w:line="240" w:lineRule="auto"/>
        <w:jc w:val="both"/>
        <w:rPr>
          <w:rFonts w:ascii="Tahoma" w:eastAsia="Times New Roman" w:hAnsi="Tahoma" w:cs="Tahoma"/>
          <w:i/>
          <w:color w:val="666366"/>
          <w:sz w:val="18"/>
          <w:szCs w:val="18"/>
          <w:lang w:val="en-ZA"/>
        </w:rPr>
      </w:pPr>
      <w:proofErr w:type="spellStart"/>
      <w:r w:rsidRPr="00966E38">
        <w:rPr>
          <w:rFonts w:ascii="Tahoma" w:eastAsia="Times New Roman" w:hAnsi="Tahoma" w:cs="Tahoma"/>
          <w:i/>
          <w:color w:val="666366"/>
          <w:sz w:val="18"/>
          <w:szCs w:val="18"/>
          <w:lang w:val="en-ZA"/>
        </w:rPr>
        <w:t>Cattan</w:t>
      </w:r>
      <w:proofErr w:type="spellEnd"/>
      <w:r w:rsidRPr="00966E38">
        <w:rPr>
          <w:rFonts w:ascii="Tahoma" w:eastAsia="Times New Roman" w:hAnsi="Tahoma" w:cs="Tahoma"/>
          <w:i/>
          <w:color w:val="666366"/>
          <w:sz w:val="18"/>
          <w:szCs w:val="18"/>
          <w:lang w:val="en-ZA"/>
        </w:rPr>
        <w:t xml:space="preserve">, M. &amp; </w:t>
      </w:r>
      <w:proofErr w:type="spellStart"/>
      <w:r w:rsidRPr="00966E38">
        <w:rPr>
          <w:rFonts w:ascii="Tahoma" w:eastAsia="Times New Roman" w:hAnsi="Tahoma" w:cs="Tahoma"/>
          <w:i/>
          <w:color w:val="666366"/>
          <w:sz w:val="18"/>
          <w:szCs w:val="18"/>
          <w:lang w:val="en-ZA"/>
        </w:rPr>
        <w:t>Tilford</w:t>
      </w:r>
      <w:proofErr w:type="spellEnd"/>
      <w:r w:rsidRPr="00966E38">
        <w:rPr>
          <w:rFonts w:ascii="Tahoma" w:eastAsia="Times New Roman" w:hAnsi="Tahoma" w:cs="Tahoma"/>
          <w:i/>
          <w:color w:val="666366"/>
          <w:sz w:val="18"/>
          <w:szCs w:val="18"/>
          <w:lang w:val="en-ZA"/>
        </w:rPr>
        <w:t xml:space="preserve">, S. (2006). Mental Health Promotion. A lifespan approach. Open University Press, </w:t>
      </w:r>
      <w:proofErr w:type="spellStart"/>
      <w:r w:rsidRPr="00966E38">
        <w:rPr>
          <w:rFonts w:ascii="Tahoma" w:eastAsia="Times New Roman" w:hAnsi="Tahoma" w:cs="Tahoma"/>
          <w:i/>
          <w:color w:val="666366"/>
          <w:sz w:val="18"/>
          <w:szCs w:val="18"/>
          <w:lang w:val="en-ZA"/>
        </w:rPr>
        <w:t>Mc</w:t>
      </w:r>
      <w:proofErr w:type="spellEnd"/>
      <w:r w:rsidRPr="00966E38">
        <w:rPr>
          <w:rFonts w:ascii="Tahoma" w:eastAsia="Times New Roman" w:hAnsi="Tahoma" w:cs="Tahoma"/>
          <w:i/>
          <w:color w:val="666366"/>
          <w:sz w:val="18"/>
          <w:szCs w:val="18"/>
          <w:lang w:val="en-ZA"/>
        </w:rPr>
        <w:t xml:space="preserve"> </w:t>
      </w:r>
      <w:proofErr w:type="spellStart"/>
      <w:r w:rsidRPr="00966E38">
        <w:rPr>
          <w:rFonts w:ascii="Tahoma" w:eastAsia="Times New Roman" w:hAnsi="Tahoma" w:cs="Tahoma"/>
          <w:i/>
          <w:color w:val="666366"/>
          <w:sz w:val="18"/>
          <w:szCs w:val="18"/>
          <w:lang w:val="en-ZA"/>
        </w:rPr>
        <w:t>Graw</w:t>
      </w:r>
      <w:proofErr w:type="spellEnd"/>
      <w:r w:rsidRPr="00966E38">
        <w:rPr>
          <w:rFonts w:ascii="Tahoma" w:eastAsia="Times New Roman" w:hAnsi="Tahoma" w:cs="Tahoma"/>
          <w:i/>
          <w:color w:val="666366"/>
          <w:sz w:val="18"/>
          <w:szCs w:val="18"/>
          <w:lang w:val="en-ZA"/>
        </w:rPr>
        <w:t>-Hill Education.</w:t>
      </w:r>
    </w:p>
    <w:p w:rsidR="00966E38" w:rsidRPr="00966E38" w:rsidRDefault="00966E38" w:rsidP="00966E38">
      <w:pPr>
        <w:spacing w:after="0" w:line="240" w:lineRule="auto"/>
        <w:jc w:val="both"/>
        <w:rPr>
          <w:rFonts w:ascii="Tahoma" w:eastAsia="Times New Roman" w:hAnsi="Tahoma" w:cs="Tahoma"/>
          <w:i/>
          <w:color w:val="666366"/>
          <w:sz w:val="16"/>
          <w:szCs w:val="16"/>
          <w:lang w:val="en-ZA"/>
        </w:rPr>
      </w:pPr>
    </w:p>
    <w:p w:rsidR="00A915E9" w:rsidRDefault="00A915E9" w:rsidP="00966E38">
      <w:pPr>
        <w:spacing w:after="0" w:line="240" w:lineRule="auto"/>
        <w:jc w:val="both"/>
        <w:rPr>
          <w:rFonts w:ascii="Tahoma" w:eastAsia="Times New Roman" w:hAnsi="Tahoma" w:cs="Tahoma"/>
          <w:i/>
          <w:color w:val="666366"/>
          <w:sz w:val="18"/>
          <w:szCs w:val="18"/>
        </w:rPr>
      </w:pPr>
      <w:r>
        <w:rPr>
          <w:rFonts w:ascii="Tahoma" w:eastAsia="Times New Roman" w:hAnsi="Tahoma" w:cs="Tahoma"/>
          <w:i/>
          <w:color w:val="666366"/>
          <w:sz w:val="18"/>
          <w:szCs w:val="18"/>
        </w:rPr>
        <w:t>De Roover, W. (2011). Effectiviteitsreview Geestelijke Gezondheidsbevordering. Brussel: VIGeZ.</w:t>
      </w:r>
    </w:p>
    <w:p w:rsidR="00A915E9" w:rsidRDefault="00A915E9" w:rsidP="00966E38">
      <w:pPr>
        <w:spacing w:after="0" w:line="240" w:lineRule="auto"/>
        <w:jc w:val="both"/>
        <w:rPr>
          <w:rFonts w:ascii="Tahoma" w:eastAsia="Times New Roman" w:hAnsi="Tahoma" w:cs="Tahoma"/>
          <w:i/>
          <w:color w:val="666366"/>
          <w:sz w:val="18"/>
          <w:szCs w:val="18"/>
        </w:rPr>
      </w:pPr>
    </w:p>
    <w:p w:rsidR="00966E38" w:rsidRPr="00A915E9" w:rsidRDefault="00966E38" w:rsidP="00966E38">
      <w:pPr>
        <w:spacing w:after="0" w:line="240" w:lineRule="auto"/>
        <w:jc w:val="both"/>
        <w:rPr>
          <w:rFonts w:ascii="Tahoma" w:eastAsia="Times New Roman" w:hAnsi="Tahoma" w:cs="Tahoma"/>
          <w:i/>
          <w:color w:val="666366"/>
          <w:sz w:val="18"/>
          <w:szCs w:val="18"/>
        </w:rPr>
      </w:pPr>
      <w:proofErr w:type="spellStart"/>
      <w:r w:rsidRPr="00966E38">
        <w:rPr>
          <w:rFonts w:ascii="Tahoma" w:eastAsia="Times New Roman" w:hAnsi="Tahoma" w:cs="Tahoma"/>
          <w:i/>
          <w:color w:val="666366"/>
          <w:sz w:val="18"/>
          <w:szCs w:val="18"/>
        </w:rPr>
        <w:t>Feldman</w:t>
      </w:r>
      <w:proofErr w:type="spellEnd"/>
      <w:r w:rsidRPr="00966E38">
        <w:rPr>
          <w:rFonts w:ascii="Tahoma" w:eastAsia="Times New Roman" w:hAnsi="Tahoma" w:cs="Tahoma"/>
          <w:i/>
          <w:color w:val="666366"/>
          <w:sz w:val="18"/>
          <w:szCs w:val="18"/>
        </w:rPr>
        <w:t xml:space="preserve">, , R.S. (2007). Ontwikkelingspsychologie II. Levensloop vanaf de jongvolwassenheid. </w:t>
      </w:r>
      <w:r w:rsidRPr="00A915E9">
        <w:rPr>
          <w:rFonts w:ascii="Tahoma" w:eastAsia="Times New Roman" w:hAnsi="Tahoma" w:cs="Tahoma"/>
          <w:i/>
          <w:color w:val="666366"/>
          <w:sz w:val="18"/>
          <w:szCs w:val="18"/>
        </w:rPr>
        <w:t xml:space="preserve">Pearson </w:t>
      </w:r>
      <w:proofErr w:type="spellStart"/>
      <w:r w:rsidRPr="00A915E9">
        <w:rPr>
          <w:rFonts w:ascii="Tahoma" w:eastAsia="Times New Roman" w:hAnsi="Tahoma" w:cs="Tahoma"/>
          <w:i/>
          <w:color w:val="666366"/>
          <w:sz w:val="18"/>
          <w:szCs w:val="18"/>
        </w:rPr>
        <w:t>Education</w:t>
      </w:r>
      <w:proofErr w:type="spellEnd"/>
      <w:r w:rsidRPr="00A915E9">
        <w:rPr>
          <w:rFonts w:ascii="Tahoma" w:eastAsia="Times New Roman" w:hAnsi="Tahoma" w:cs="Tahoma"/>
          <w:i/>
          <w:color w:val="666366"/>
          <w:sz w:val="18"/>
          <w:szCs w:val="18"/>
        </w:rPr>
        <w:t xml:space="preserve"> Benelux.</w:t>
      </w:r>
    </w:p>
    <w:p w:rsidR="00966E38" w:rsidRPr="00A915E9" w:rsidRDefault="00966E38" w:rsidP="00966E38">
      <w:pPr>
        <w:autoSpaceDE w:val="0"/>
        <w:autoSpaceDN w:val="0"/>
        <w:adjustRightInd w:val="0"/>
        <w:spacing w:after="0" w:line="240" w:lineRule="auto"/>
        <w:jc w:val="both"/>
        <w:rPr>
          <w:rFonts w:ascii="Tahoma" w:eastAsia="Times New Roman" w:hAnsi="Tahoma" w:cs="Tahoma"/>
          <w:i/>
          <w:color w:val="666366"/>
          <w:sz w:val="16"/>
          <w:szCs w:val="16"/>
          <w:lang w:eastAsia="en-ZA"/>
        </w:rPr>
      </w:pPr>
    </w:p>
    <w:p w:rsidR="00966E38" w:rsidRPr="00966E38" w:rsidRDefault="00966E38" w:rsidP="00966E38">
      <w:pPr>
        <w:autoSpaceDE w:val="0"/>
        <w:autoSpaceDN w:val="0"/>
        <w:adjustRightInd w:val="0"/>
        <w:spacing w:after="0" w:line="240" w:lineRule="auto"/>
        <w:jc w:val="both"/>
        <w:rPr>
          <w:rFonts w:ascii="Tahoma" w:eastAsia="Times New Roman" w:hAnsi="Tahoma" w:cs="Tahoma"/>
          <w:i/>
          <w:color w:val="666366"/>
          <w:sz w:val="18"/>
          <w:szCs w:val="18"/>
          <w:lang w:val="en-ZA" w:eastAsia="en-ZA"/>
        </w:rPr>
      </w:pPr>
      <w:r>
        <w:rPr>
          <w:rFonts w:ascii="Tahoma" w:eastAsia="Times New Roman" w:hAnsi="Tahoma" w:cs="Tahoma"/>
          <w:i/>
          <w:color w:val="666366"/>
          <w:sz w:val="18"/>
          <w:szCs w:val="18"/>
          <w:lang w:val="en-ZA" w:eastAsia="en-ZA"/>
        </w:rPr>
        <w:t>Foresight Mental C</w:t>
      </w:r>
      <w:r w:rsidRPr="00966E38">
        <w:rPr>
          <w:rFonts w:ascii="Tahoma" w:eastAsia="Times New Roman" w:hAnsi="Tahoma" w:cs="Tahoma"/>
          <w:i/>
          <w:color w:val="666366"/>
          <w:sz w:val="18"/>
          <w:szCs w:val="18"/>
          <w:lang w:val="en-ZA" w:eastAsia="en-ZA"/>
        </w:rPr>
        <w:t>apital and Wellbeing Project (2008). Final Project report – Executive summary. The Government Office for Science, London</w:t>
      </w:r>
    </w:p>
    <w:p w:rsidR="00966E38" w:rsidRPr="00966E38" w:rsidRDefault="00966E38" w:rsidP="00966E38">
      <w:pPr>
        <w:autoSpaceDE w:val="0"/>
        <w:autoSpaceDN w:val="0"/>
        <w:adjustRightInd w:val="0"/>
        <w:spacing w:after="0" w:line="240" w:lineRule="auto"/>
        <w:jc w:val="both"/>
        <w:rPr>
          <w:rFonts w:ascii="Tahoma" w:eastAsia="Times New Roman" w:hAnsi="Tahoma" w:cs="Tahoma"/>
          <w:i/>
          <w:color w:val="666366"/>
          <w:sz w:val="16"/>
          <w:szCs w:val="16"/>
          <w:lang w:val="en-ZA" w:eastAsia="en-ZA"/>
        </w:rPr>
      </w:pPr>
    </w:p>
    <w:p w:rsidR="00966E38" w:rsidRPr="00966E38" w:rsidRDefault="00966E38" w:rsidP="00966E38">
      <w:pPr>
        <w:spacing w:after="0" w:line="240" w:lineRule="auto"/>
        <w:jc w:val="both"/>
        <w:rPr>
          <w:rFonts w:ascii="Tahoma" w:eastAsia="Times New Roman" w:hAnsi="Tahoma" w:cs="Tahoma"/>
          <w:i/>
          <w:color w:val="666366"/>
          <w:sz w:val="18"/>
          <w:szCs w:val="18"/>
          <w:lang w:val="en-US" w:eastAsia="nl-BE"/>
        </w:rPr>
      </w:pPr>
      <w:r w:rsidRPr="00966E38">
        <w:rPr>
          <w:rFonts w:ascii="Tahoma" w:eastAsia="Times New Roman" w:hAnsi="Tahoma" w:cs="Tahoma"/>
          <w:i/>
          <w:color w:val="666366"/>
          <w:sz w:val="18"/>
          <w:szCs w:val="18"/>
          <w:lang w:val="en-US" w:eastAsia="nl-BE"/>
        </w:rPr>
        <w:lastRenderedPageBreak/>
        <w:t>Jane-</w:t>
      </w:r>
      <w:proofErr w:type="spellStart"/>
      <w:r w:rsidRPr="00966E38">
        <w:rPr>
          <w:rFonts w:ascii="Tahoma" w:eastAsia="Times New Roman" w:hAnsi="Tahoma" w:cs="Tahoma"/>
          <w:i/>
          <w:color w:val="666366"/>
          <w:sz w:val="18"/>
          <w:szCs w:val="18"/>
          <w:lang w:val="en-US" w:eastAsia="nl-BE"/>
        </w:rPr>
        <w:t>Llopis</w:t>
      </w:r>
      <w:proofErr w:type="spellEnd"/>
      <w:r w:rsidRPr="00966E38">
        <w:rPr>
          <w:rFonts w:ascii="Tahoma" w:eastAsia="Times New Roman" w:hAnsi="Tahoma" w:cs="Tahoma"/>
          <w:i/>
          <w:color w:val="666366"/>
          <w:sz w:val="18"/>
          <w:szCs w:val="18"/>
          <w:lang w:val="en-US" w:eastAsia="nl-BE"/>
        </w:rPr>
        <w:t xml:space="preserve">, E. (2007). Mental Health Promotion: Concepts and Strategies for Reaching the Population. Health </w:t>
      </w:r>
      <w:proofErr w:type="spellStart"/>
      <w:r w:rsidRPr="00966E38">
        <w:rPr>
          <w:rFonts w:ascii="Tahoma" w:eastAsia="Times New Roman" w:hAnsi="Tahoma" w:cs="Tahoma"/>
          <w:i/>
          <w:color w:val="666366"/>
          <w:sz w:val="18"/>
          <w:szCs w:val="18"/>
          <w:lang w:val="en-US" w:eastAsia="nl-BE"/>
        </w:rPr>
        <w:t>Promot</w:t>
      </w:r>
      <w:proofErr w:type="spellEnd"/>
      <w:r w:rsidRPr="00966E38">
        <w:rPr>
          <w:rFonts w:ascii="Tahoma" w:eastAsia="Times New Roman" w:hAnsi="Tahoma" w:cs="Tahoma"/>
          <w:i/>
          <w:color w:val="666366"/>
          <w:sz w:val="18"/>
          <w:szCs w:val="18"/>
          <w:lang w:val="en-US" w:eastAsia="nl-BE"/>
        </w:rPr>
        <w:t xml:space="preserve"> J </w:t>
      </w:r>
      <w:proofErr w:type="spellStart"/>
      <w:r w:rsidRPr="00966E38">
        <w:rPr>
          <w:rFonts w:ascii="Tahoma" w:eastAsia="Times New Roman" w:hAnsi="Tahoma" w:cs="Tahoma"/>
          <w:i/>
          <w:color w:val="666366"/>
          <w:sz w:val="18"/>
          <w:szCs w:val="18"/>
          <w:lang w:val="en-US" w:eastAsia="nl-BE"/>
        </w:rPr>
        <w:t>Austr</w:t>
      </w:r>
      <w:proofErr w:type="spellEnd"/>
      <w:r w:rsidRPr="00966E38">
        <w:rPr>
          <w:rFonts w:ascii="Tahoma" w:eastAsia="Times New Roman" w:hAnsi="Tahoma" w:cs="Tahoma"/>
          <w:i/>
          <w:color w:val="666366"/>
          <w:sz w:val="18"/>
          <w:szCs w:val="18"/>
          <w:lang w:val="en-US" w:eastAsia="nl-BE"/>
        </w:rPr>
        <w:t xml:space="preserve"> </w:t>
      </w:r>
      <w:r w:rsidRPr="00966E38">
        <w:rPr>
          <w:rFonts w:ascii="Tahoma" w:eastAsia="Times New Roman" w:hAnsi="Tahoma" w:cs="Tahoma"/>
          <w:bCs/>
          <w:i/>
          <w:color w:val="666366"/>
          <w:sz w:val="18"/>
          <w:szCs w:val="18"/>
          <w:lang w:val="en-US" w:eastAsia="nl-BE"/>
        </w:rPr>
        <w:t>18</w:t>
      </w:r>
      <w:r w:rsidRPr="00966E38">
        <w:rPr>
          <w:rFonts w:ascii="Tahoma" w:eastAsia="Times New Roman" w:hAnsi="Tahoma" w:cs="Tahoma"/>
          <w:i/>
          <w:color w:val="666366"/>
          <w:sz w:val="18"/>
          <w:szCs w:val="18"/>
          <w:lang w:val="en-US" w:eastAsia="nl-BE"/>
        </w:rPr>
        <w:t>(3): 191-197.</w:t>
      </w:r>
    </w:p>
    <w:p w:rsidR="00966E38" w:rsidRPr="00966E38" w:rsidRDefault="00966E38" w:rsidP="00966E38">
      <w:pPr>
        <w:spacing w:after="0" w:line="240" w:lineRule="auto"/>
        <w:jc w:val="both"/>
        <w:rPr>
          <w:rFonts w:ascii="Tahoma" w:eastAsia="Times New Roman" w:hAnsi="Tahoma" w:cs="Tahoma"/>
          <w:i/>
          <w:color w:val="666366"/>
          <w:sz w:val="16"/>
          <w:szCs w:val="16"/>
          <w:lang w:val="en-ZA"/>
        </w:rPr>
      </w:pPr>
    </w:p>
    <w:p w:rsidR="00966E38" w:rsidRPr="00966E38" w:rsidRDefault="00966E38" w:rsidP="00966E38">
      <w:pPr>
        <w:spacing w:after="0" w:line="240" w:lineRule="auto"/>
        <w:jc w:val="both"/>
        <w:rPr>
          <w:rFonts w:ascii="Tahoma" w:eastAsia="Times New Roman" w:hAnsi="Tahoma" w:cs="Tahoma"/>
          <w:i/>
          <w:color w:val="666366"/>
          <w:sz w:val="18"/>
          <w:szCs w:val="18"/>
          <w:lang w:val="en-US" w:eastAsia="nl-BE"/>
        </w:rPr>
      </w:pPr>
      <w:proofErr w:type="spellStart"/>
      <w:r w:rsidRPr="00966E38">
        <w:rPr>
          <w:rFonts w:ascii="Tahoma" w:eastAsia="Times New Roman" w:hAnsi="Tahoma" w:cs="Tahoma"/>
          <w:i/>
          <w:color w:val="666366"/>
          <w:sz w:val="18"/>
          <w:szCs w:val="18"/>
          <w:lang w:val="en-US" w:eastAsia="nl-BE"/>
        </w:rPr>
        <w:t>Keleher</w:t>
      </w:r>
      <w:proofErr w:type="spellEnd"/>
      <w:r w:rsidRPr="00966E38">
        <w:rPr>
          <w:rFonts w:ascii="Tahoma" w:eastAsia="Times New Roman" w:hAnsi="Tahoma" w:cs="Tahoma"/>
          <w:i/>
          <w:color w:val="666366"/>
          <w:sz w:val="18"/>
          <w:szCs w:val="18"/>
          <w:lang w:val="en-US" w:eastAsia="nl-BE"/>
        </w:rPr>
        <w:t xml:space="preserve">, H. and R. Armstrong (2005). Evidence-Based Mental Health Promotion Resource. Melbourne, Department of Human Services and </w:t>
      </w:r>
      <w:proofErr w:type="spellStart"/>
      <w:r w:rsidRPr="00966E38">
        <w:rPr>
          <w:rFonts w:ascii="Tahoma" w:eastAsia="Times New Roman" w:hAnsi="Tahoma" w:cs="Tahoma"/>
          <w:i/>
          <w:color w:val="666366"/>
          <w:sz w:val="18"/>
          <w:szCs w:val="18"/>
          <w:lang w:val="en-US" w:eastAsia="nl-BE"/>
        </w:rPr>
        <w:t>VicHealth</w:t>
      </w:r>
      <w:proofErr w:type="spellEnd"/>
      <w:r w:rsidRPr="00966E38">
        <w:rPr>
          <w:rFonts w:ascii="Tahoma" w:eastAsia="Times New Roman" w:hAnsi="Tahoma" w:cs="Tahoma"/>
          <w:i/>
          <w:color w:val="666366"/>
          <w:sz w:val="18"/>
          <w:szCs w:val="18"/>
          <w:lang w:val="en-US" w:eastAsia="nl-BE"/>
        </w:rPr>
        <w:t>.</w:t>
      </w:r>
    </w:p>
    <w:p w:rsidR="00966E38" w:rsidRPr="00966E38" w:rsidRDefault="00966E38" w:rsidP="00966E38">
      <w:pPr>
        <w:spacing w:after="0" w:line="240" w:lineRule="auto"/>
        <w:jc w:val="both"/>
        <w:rPr>
          <w:rFonts w:ascii="Tahoma" w:eastAsia="Times New Roman" w:hAnsi="Tahoma" w:cs="Tahoma"/>
          <w:i/>
          <w:color w:val="666366"/>
          <w:sz w:val="16"/>
          <w:szCs w:val="16"/>
          <w:lang w:val="en-US" w:eastAsia="nl-BE"/>
        </w:rPr>
      </w:pPr>
    </w:p>
    <w:p w:rsidR="00966E38" w:rsidRPr="00A915E9" w:rsidRDefault="00966E38" w:rsidP="00966E38">
      <w:pPr>
        <w:spacing w:after="0" w:line="240" w:lineRule="auto"/>
        <w:jc w:val="both"/>
        <w:rPr>
          <w:rFonts w:ascii="Tahoma" w:eastAsia="Times New Roman" w:hAnsi="Tahoma" w:cs="Tahoma"/>
          <w:i/>
          <w:color w:val="666366"/>
          <w:sz w:val="18"/>
          <w:szCs w:val="18"/>
          <w:lang w:val="en-US" w:eastAsia="nl-BE"/>
        </w:rPr>
      </w:pPr>
      <w:r w:rsidRPr="00966E38">
        <w:rPr>
          <w:rFonts w:ascii="Tahoma" w:eastAsia="Times New Roman" w:hAnsi="Tahoma" w:cs="Tahoma"/>
          <w:i/>
          <w:color w:val="666366"/>
          <w:sz w:val="18"/>
          <w:szCs w:val="18"/>
          <w:lang w:val="en-US" w:eastAsia="nl-BE"/>
        </w:rPr>
        <w:t xml:space="preserve">Keyes, C. L. (2007). Promoting and Protecting Mental Health as Flourishing: A Complementary Strategy for Improving National Mental Health. </w:t>
      </w:r>
      <w:r w:rsidRPr="00A915E9">
        <w:rPr>
          <w:rFonts w:ascii="Tahoma" w:eastAsia="Times New Roman" w:hAnsi="Tahoma" w:cs="Tahoma"/>
          <w:i/>
          <w:color w:val="666366"/>
          <w:sz w:val="18"/>
          <w:szCs w:val="18"/>
          <w:lang w:val="en-US" w:eastAsia="nl-BE"/>
        </w:rPr>
        <w:t xml:space="preserve">Am </w:t>
      </w:r>
      <w:proofErr w:type="spellStart"/>
      <w:r w:rsidRPr="00A915E9">
        <w:rPr>
          <w:rFonts w:ascii="Tahoma" w:eastAsia="Times New Roman" w:hAnsi="Tahoma" w:cs="Tahoma"/>
          <w:i/>
          <w:color w:val="666366"/>
          <w:sz w:val="18"/>
          <w:szCs w:val="18"/>
          <w:lang w:val="en-US" w:eastAsia="nl-BE"/>
        </w:rPr>
        <w:t>Psychol</w:t>
      </w:r>
      <w:proofErr w:type="spellEnd"/>
      <w:r w:rsidRPr="00A915E9">
        <w:rPr>
          <w:rFonts w:ascii="Tahoma" w:eastAsia="Times New Roman" w:hAnsi="Tahoma" w:cs="Tahoma"/>
          <w:i/>
          <w:color w:val="666366"/>
          <w:sz w:val="18"/>
          <w:szCs w:val="18"/>
          <w:lang w:val="en-US" w:eastAsia="nl-BE"/>
        </w:rPr>
        <w:t xml:space="preserve"> </w:t>
      </w:r>
      <w:r w:rsidRPr="00A915E9">
        <w:rPr>
          <w:rFonts w:ascii="Tahoma" w:eastAsia="Times New Roman" w:hAnsi="Tahoma" w:cs="Tahoma"/>
          <w:bCs/>
          <w:i/>
          <w:color w:val="666366"/>
          <w:sz w:val="18"/>
          <w:szCs w:val="18"/>
          <w:lang w:val="en-US" w:eastAsia="nl-BE"/>
        </w:rPr>
        <w:t>62</w:t>
      </w:r>
      <w:r w:rsidRPr="00A915E9">
        <w:rPr>
          <w:rFonts w:ascii="Tahoma" w:eastAsia="Times New Roman" w:hAnsi="Tahoma" w:cs="Tahoma"/>
          <w:i/>
          <w:color w:val="666366"/>
          <w:sz w:val="18"/>
          <w:szCs w:val="18"/>
          <w:lang w:val="en-US" w:eastAsia="nl-BE"/>
        </w:rPr>
        <w:t>(2): 95-108.</w:t>
      </w:r>
    </w:p>
    <w:p w:rsidR="00966E38" w:rsidRPr="00966E38" w:rsidRDefault="00966E38" w:rsidP="00966E38">
      <w:pPr>
        <w:spacing w:after="0" w:line="240" w:lineRule="auto"/>
        <w:jc w:val="both"/>
        <w:rPr>
          <w:rFonts w:ascii="Tahoma" w:eastAsia="Times New Roman" w:hAnsi="Tahoma" w:cs="Tahoma"/>
          <w:i/>
          <w:color w:val="666366"/>
          <w:sz w:val="16"/>
          <w:szCs w:val="16"/>
          <w:lang w:val="en-ZA"/>
        </w:rPr>
      </w:pPr>
    </w:p>
    <w:p w:rsidR="00966E38" w:rsidRPr="00966E38" w:rsidRDefault="00966E38" w:rsidP="00966E38">
      <w:pPr>
        <w:spacing w:after="0" w:line="240" w:lineRule="auto"/>
        <w:jc w:val="both"/>
        <w:rPr>
          <w:rFonts w:ascii="Tahoma" w:eastAsia="Times New Roman" w:hAnsi="Tahoma" w:cs="Tahoma"/>
          <w:i/>
          <w:color w:val="666366"/>
          <w:sz w:val="18"/>
          <w:szCs w:val="18"/>
          <w:lang w:eastAsia="nl-BE"/>
        </w:rPr>
      </w:pPr>
      <w:proofErr w:type="spellStart"/>
      <w:r w:rsidRPr="00966E38">
        <w:rPr>
          <w:rFonts w:ascii="Tahoma" w:eastAsia="Times New Roman" w:hAnsi="Tahoma" w:cs="Tahoma"/>
          <w:i/>
          <w:color w:val="666366"/>
          <w:sz w:val="18"/>
          <w:szCs w:val="18"/>
          <w:lang w:val="en-US" w:eastAsia="nl-BE"/>
        </w:rPr>
        <w:t>Pollet</w:t>
      </w:r>
      <w:proofErr w:type="spellEnd"/>
      <w:r w:rsidRPr="00966E38">
        <w:rPr>
          <w:rFonts w:ascii="Tahoma" w:eastAsia="Times New Roman" w:hAnsi="Tahoma" w:cs="Tahoma"/>
          <w:i/>
          <w:color w:val="666366"/>
          <w:sz w:val="18"/>
          <w:szCs w:val="18"/>
          <w:lang w:val="en-US" w:eastAsia="nl-BE"/>
        </w:rPr>
        <w:t xml:space="preserve">, H. (2007). Mental Health Promotion: A Literature Review. Mental Health Promotion Working Group of the Provincial Wellness Advisory Council. </w:t>
      </w:r>
      <w:r w:rsidRPr="00966E38">
        <w:rPr>
          <w:rFonts w:ascii="Tahoma" w:eastAsia="Times New Roman" w:hAnsi="Tahoma" w:cs="Tahoma"/>
          <w:i/>
          <w:color w:val="666366"/>
          <w:sz w:val="18"/>
          <w:szCs w:val="18"/>
          <w:lang w:eastAsia="nl-BE"/>
        </w:rPr>
        <w:t>CAMH</w:t>
      </w:r>
    </w:p>
    <w:p w:rsidR="00966E38" w:rsidRPr="00966E38" w:rsidRDefault="00966E38" w:rsidP="00966E38">
      <w:pPr>
        <w:spacing w:after="0" w:line="240" w:lineRule="auto"/>
        <w:jc w:val="both"/>
        <w:rPr>
          <w:rFonts w:ascii="Tahoma" w:eastAsia="Times New Roman" w:hAnsi="Tahoma" w:cs="Tahoma"/>
          <w:i/>
          <w:color w:val="666366"/>
          <w:sz w:val="16"/>
          <w:szCs w:val="16"/>
        </w:rPr>
      </w:pPr>
    </w:p>
    <w:p w:rsidR="00966E38" w:rsidRPr="00966E38" w:rsidRDefault="00966E38" w:rsidP="00966E38">
      <w:pPr>
        <w:spacing w:after="0" w:line="240" w:lineRule="auto"/>
        <w:rPr>
          <w:rFonts w:ascii="Tahoma" w:eastAsia="Times New Roman" w:hAnsi="Tahoma" w:cs="Tahoma"/>
          <w:i/>
          <w:color w:val="666366"/>
          <w:sz w:val="18"/>
          <w:szCs w:val="18"/>
          <w:lang w:val="nl-NL" w:eastAsia="nl-BE"/>
        </w:rPr>
      </w:pPr>
      <w:r w:rsidRPr="00966E38">
        <w:rPr>
          <w:rFonts w:ascii="Tahoma" w:eastAsia="Times New Roman" w:hAnsi="Tahoma" w:cs="Tahoma"/>
          <w:i/>
          <w:color w:val="666366"/>
          <w:sz w:val="18"/>
          <w:szCs w:val="18"/>
          <w:lang w:val="nl-NL" w:eastAsia="nl-BE"/>
        </w:rPr>
        <w:t xml:space="preserve">Prins, P.J.M. &amp; </w:t>
      </w:r>
      <w:proofErr w:type="spellStart"/>
      <w:r w:rsidRPr="00966E38">
        <w:rPr>
          <w:rFonts w:ascii="Tahoma" w:eastAsia="Times New Roman" w:hAnsi="Tahoma" w:cs="Tahoma"/>
          <w:i/>
          <w:color w:val="666366"/>
          <w:sz w:val="18"/>
          <w:szCs w:val="18"/>
          <w:lang w:val="nl-NL" w:eastAsia="nl-BE"/>
        </w:rPr>
        <w:t>Braet</w:t>
      </w:r>
      <w:proofErr w:type="spellEnd"/>
      <w:r w:rsidRPr="00966E38">
        <w:rPr>
          <w:rFonts w:ascii="Tahoma" w:eastAsia="Times New Roman" w:hAnsi="Tahoma" w:cs="Tahoma"/>
          <w:i/>
          <w:color w:val="666366"/>
          <w:sz w:val="18"/>
          <w:szCs w:val="18"/>
          <w:lang w:val="nl-NL" w:eastAsia="nl-BE"/>
        </w:rPr>
        <w:t xml:space="preserve">, C. (2008). Handboek Klinische Ontwikkelingspsychologie. Over aanleg, omgeving en verandering. Houten: </w:t>
      </w:r>
      <w:proofErr w:type="spellStart"/>
      <w:r w:rsidRPr="00966E38">
        <w:rPr>
          <w:rFonts w:ascii="Tahoma" w:eastAsia="Times New Roman" w:hAnsi="Tahoma" w:cs="Tahoma"/>
          <w:i/>
          <w:color w:val="666366"/>
          <w:sz w:val="18"/>
          <w:szCs w:val="18"/>
          <w:lang w:val="nl-NL" w:eastAsia="nl-BE"/>
        </w:rPr>
        <w:t>Bohn</w:t>
      </w:r>
      <w:proofErr w:type="spellEnd"/>
      <w:r w:rsidRPr="00966E38">
        <w:rPr>
          <w:rFonts w:ascii="Tahoma" w:eastAsia="Times New Roman" w:hAnsi="Tahoma" w:cs="Tahoma"/>
          <w:i/>
          <w:color w:val="666366"/>
          <w:sz w:val="18"/>
          <w:szCs w:val="18"/>
          <w:lang w:val="nl-NL" w:eastAsia="nl-BE"/>
        </w:rPr>
        <w:t xml:space="preserve"> </w:t>
      </w:r>
      <w:proofErr w:type="spellStart"/>
      <w:r w:rsidRPr="00966E38">
        <w:rPr>
          <w:rFonts w:ascii="Tahoma" w:eastAsia="Times New Roman" w:hAnsi="Tahoma" w:cs="Tahoma"/>
          <w:i/>
          <w:color w:val="666366"/>
          <w:sz w:val="18"/>
          <w:szCs w:val="18"/>
          <w:lang w:val="nl-NL" w:eastAsia="nl-BE"/>
        </w:rPr>
        <w:t>Stafleu</w:t>
      </w:r>
      <w:proofErr w:type="spellEnd"/>
      <w:r w:rsidRPr="00966E38">
        <w:rPr>
          <w:rFonts w:ascii="Tahoma" w:eastAsia="Times New Roman" w:hAnsi="Tahoma" w:cs="Tahoma"/>
          <w:i/>
          <w:color w:val="666366"/>
          <w:sz w:val="18"/>
          <w:szCs w:val="18"/>
          <w:lang w:val="nl-NL" w:eastAsia="nl-BE"/>
        </w:rPr>
        <w:t xml:space="preserve"> </w:t>
      </w:r>
      <w:proofErr w:type="spellStart"/>
      <w:r w:rsidRPr="00966E38">
        <w:rPr>
          <w:rFonts w:ascii="Tahoma" w:eastAsia="Times New Roman" w:hAnsi="Tahoma" w:cs="Tahoma"/>
          <w:i/>
          <w:color w:val="666366"/>
          <w:sz w:val="18"/>
          <w:szCs w:val="18"/>
          <w:lang w:val="nl-NL" w:eastAsia="nl-BE"/>
        </w:rPr>
        <w:t>VanLoghum</w:t>
      </w:r>
      <w:proofErr w:type="spellEnd"/>
      <w:r w:rsidRPr="00966E38">
        <w:rPr>
          <w:rFonts w:ascii="Tahoma" w:eastAsia="Times New Roman" w:hAnsi="Tahoma" w:cs="Tahoma"/>
          <w:i/>
          <w:color w:val="666366"/>
          <w:sz w:val="18"/>
          <w:szCs w:val="18"/>
          <w:lang w:val="nl-NL" w:eastAsia="nl-BE"/>
        </w:rPr>
        <w:t>.</w:t>
      </w:r>
    </w:p>
    <w:p w:rsidR="00966E38" w:rsidRPr="00966E38" w:rsidRDefault="00966E38" w:rsidP="00966E38">
      <w:pPr>
        <w:spacing w:after="0" w:line="240" w:lineRule="auto"/>
        <w:jc w:val="both"/>
        <w:rPr>
          <w:rFonts w:ascii="Tahoma" w:eastAsia="Times New Roman" w:hAnsi="Tahoma" w:cs="Tahoma"/>
          <w:i/>
          <w:color w:val="666366"/>
          <w:sz w:val="16"/>
          <w:szCs w:val="16"/>
          <w:lang w:eastAsia="nl-BE"/>
        </w:rPr>
      </w:pPr>
    </w:p>
    <w:p w:rsidR="001F6151" w:rsidRPr="0043344B" w:rsidRDefault="001F6151"/>
    <w:sectPr w:rsidR="001F6151" w:rsidRPr="0043344B" w:rsidSect="0078261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36" w:rsidRDefault="00916C36" w:rsidP="003167F4">
      <w:pPr>
        <w:spacing w:after="0" w:line="240" w:lineRule="auto"/>
      </w:pPr>
      <w:r>
        <w:separator/>
      </w:r>
    </w:p>
  </w:endnote>
  <w:endnote w:type="continuationSeparator" w:id="0">
    <w:p w:rsidR="00916C36" w:rsidRDefault="00916C36" w:rsidP="003167F4">
      <w:pPr>
        <w:spacing w:after="0" w:line="240" w:lineRule="auto"/>
      </w:pPr>
      <w:r>
        <w:continuationSeparator/>
      </w:r>
    </w:p>
  </w:endnote>
  <w:endnote w:type="continuationNotice" w:id="1">
    <w:p w:rsidR="00916C36" w:rsidRDefault="00916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F4" w:rsidRPr="009D5686" w:rsidRDefault="003167F4" w:rsidP="009D5686">
    <w:pPr>
      <w:pStyle w:val="Voettekst"/>
      <w:jc w:val="center"/>
      <w:rPr>
        <w:rFonts w:ascii="Tahoma" w:hAnsi="Tahoma"/>
        <w:i/>
        <w:sz w:val="18"/>
      </w:rPr>
    </w:pPr>
    <w:proofErr w:type="spellStart"/>
    <w:r w:rsidRPr="003167F4">
      <w:rPr>
        <w:rFonts w:ascii="Tahoma" w:hAnsi="Tahoma" w:cs="Tahoma"/>
        <w:i/>
        <w:sz w:val="18"/>
        <w:szCs w:val="18"/>
      </w:rPr>
      <w:t>Factsheet</w:t>
    </w:r>
    <w:proofErr w:type="spellEnd"/>
    <w:r w:rsidRPr="003167F4">
      <w:rPr>
        <w:rFonts w:ascii="Tahoma" w:hAnsi="Tahoma" w:cs="Tahoma"/>
        <w:i/>
        <w:sz w:val="18"/>
        <w:szCs w:val="18"/>
      </w:rPr>
      <w:t xml:space="preserve"> Effectiviteit GGB – Geestelijke Gezondheidsbevordering </w:t>
    </w:r>
    <w:r w:rsidR="00E421F7">
      <w:rPr>
        <w:rFonts w:ascii="Tahoma" w:hAnsi="Tahoma" w:cs="Tahoma"/>
        <w:i/>
        <w:sz w:val="18"/>
        <w:szCs w:val="18"/>
      </w:rPr>
      <w:t xml:space="preserve">                                  </w:t>
    </w:r>
    <w:r w:rsidR="00CB664F">
      <w:rPr>
        <w:rFonts w:ascii="Tahoma" w:hAnsi="Tahoma" w:cs="Tahoma"/>
        <w:i/>
        <w:sz w:val="18"/>
        <w:szCs w:val="18"/>
      </w:rPr>
      <w:t xml:space="preserve">              </w:t>
    </w:r>
    <w:r w:rsidR="00E421F7">
      <w:rPr>
        <w:rFonts w:ascii="Tahoma" w:hAnsi="Tahoma" w:cs="Tahoma"/>
        <w:i/>
        <w:sz w:val="18"/>
        <w:szCs w:val="18"/>
      </w:rPr>
      <w:t xml:space="preserve">   </w:t>
    </w:r>
    <w:r w:rsidRPr="003167F4">
      <w:rPr>
        <w:rFonts w:ascii="Tahoma" w:hAnsi="Tahoma" w:cs="Tahoma"/>
        <w:i/>
        <w:sz w:val="18"/>
        <w:szCs w:val="18"/>
      </w:rPr>
      <w:t xml:space="preserve"> </w:t>
    </w:r>
    <w:r w:rsidR="00E421F7" w:rsidRPr="00CB664F">
      <w:rPr>
        <w:rFonts w:ascii="Tahoma" w:hAnsi="Tahoma"/>
        <w:i/>
        <w:noProof/>
        <w:sz w:val="18"/>
        <w:lang w:eastAsia="nl-BE"/>
      </w:rPr>
      <w:drawing>
        <wp:inline distT="0" distB="0" distL="0" distR="0" wp14:anchorId="6B4D8196" wp14:editId="17714A83">
          <wp:extent cx="561975" cy="2759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gez-logo-kl.jpg"/>
                  <pic:cNvPicPr/>
                </pic:nvPicPr>
                <pic:blipFill>
                  <a:blip r:embed="rId1">
                    <a:extLst>
                      <a:ext uri="{28A0092B-C50C-407E-A947-70E740481C1C}">
                        <a14:useLocalDpi xmlns:a14="http://schemas.microsoft.com/office/drawing/2010/main" val="0"/>
                      </a:ext>
                    </a:extLst>
                  </a:blip>
                  <a:stretch>
                    <a:fillRect/>
                  </a:stretch>
                </pic:blipFill>
                <pic:spPr>
                  <a:xfrm>
                    <a:off x="0" y="0"/>
                    <a:ext cx="564134" cy="2770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36" w:rsidRDefault="00916C36" w:rsidP="003167F4">
      <w:pPr>
        <w:spacing w:after="0" w:line="240" w:lineRule="auto"/>
      </w:pPr>
      <w:r>
        <w:separator/>
      </w:r>
    </w:p>
  </w:footnote>
  <w:footnote w:type="continuationSeparator" w:id="0">
    <w:p w:rsidR="00916C36" w:rsidRDefault="00916C36" w:rsidP="003167F4">
      <w:pPr>
        <w:spacing w:after="0" w:line="240" w:lineRule="auto"/>
      </w:pPr>
      <w:r>
        <w:continuationSeparator/>
      </w:r>
    </w:p>
  </w:footnote>
  <w:footnote w:type="continuationNotice" w:id="1">
    <w:p w:rsidR="00916C36" w:rsidRDefault="00916C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019357"/>
      <w:docPartObj>
        <w:docPartGallery w:val="Page Numbers (Top of Page)"/>
        <w:docPartUnique/>
      </w:docPartObj>
    </w:sdtPr>
    <w:sdtEndPr/>
    <w:sdtContent>
      <w:p w:rsidR="003167F4" w:rsidRDefault="0078261B">
        <w:pPr>
          <w:pStyle w:val="Koptekst"/>
          <w:jc w:val="right"/>
        </w:pPr>
        <w:r w:rsidRPr="003167F4">
          <w:rPr>
            <w:rFonts w:ascii="Tahoma" w:hAnsi="Tahoma" w:cs="Tahoma"/>
            <w:sz w:val="16"/>
            <w:szCs w:val="16"/>
          </w:rPr>
          <w:fldChar w:fldCharType="begin"/>
        </w:r>
        <w:r w:rsidR="003167F4" w:rsidRPr="003167F4">
          <w:rPr>
            <w:rFonts w:ascii="Tahoma" w:hAnsi="Tahoma" w:cs="Tahoma"/>
            <w:sz w:val="16"/>
            <w:szCs w:val="16"/>
          </w:rPr>
          <w:instrText>PAGE   \* MERGEFORMAT</w:instrText>
        </w:r>
        <w:r w:rsidRPr="003167F4">
          <w:rPr>
            <w:rFonts w:ascii="Tahoma" w:hAnsi="Tahoma" w:cs="Tahoma"/>
            <w:sz w:val="16"/>
            <w:szCs w:val="16"/>
          </w:rPr>
          <w:fldChar w:fldCharType="separate"/>
        </w:r>
        <w:r w:rsidR="00AC5D22" w:rsidRPr="00AC5D22">
          <w:rPr>
            <w:rFonts w:ascii="Tahoma" w:hAnsi="Tahoma" w:cs="Tahoma"/>
            <w:noProof/>
            <w:sz w:val="16"/>
            <w:szCs w:val="16"/>
            <w:lang w:val="nl-NL"/>
          </w:rPr>
          <w:t>1</w:t>
        </w:r>
        <w:r w:rsidRPr="003167F4">
          <w:rPr>
            <w:rFonts w:ascii="Tahoma" w:hAnsi="Tahoma" w:cs="Tahoma"/>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E19FD"/>
    <w:multiLevelType w:val="hybridMultilevel"/>
    <w:tmpl w:val="05281A06"/>
    <w:lvl w:ilvl="0" w:tplc="23F492B6">
      <w:start w:val="1"/>
      <w:numFmt w:val="bullet"/>
      <w:lvlText w:val="-"/>
      <w:lvlJc w:val="left"/>
      <w:pPr>
        <w:tabs>
          <w:tab w:val="num" w:pos="720"/>
        </w:tabs>
        <w:ind w:left="720" w:hanging="360"/>
      </w:pPr>
      <w:rPr>
        <w:rFonts w:ascii="Tahoma" w:hAnsi="Tahoma" w:hint="default"/>
        <w:color w:val="666366"/>
        <w:u w:color="4F81BD"/>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
    <w:nsid w:val="7E026885"/>
    <w:multiLevelType w:val="hybridMultilevel"/>
    <w:tmpl w:val="1034DB30"/>
    <w:lvl w:ilvl="0" w:tplc="23F492B6">
      <w:start w:val="1"/>
      <w:numFmt w:val="bullet"/>
      <w:lvlText w:val="-"/>
      <w:lvlJc w:val="left"/>
      <w:pPr>
        <w:ind w:left="720" w:hanging="360"/>
      </w:pPr>
      <w:rPr>
        <w:rFonts w:ascii="Tahoma" w:hAnsi="Tahoma" w:hint="default"/>
        <w:color w:val="666366"/>
        <w:u w:color="4F81BD"/>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51"/>
    <w:rsid w:val="000613ED"/>
    <w:rsid w:val="001F6151"/>
    <w:rsid w:val="00231EDB"/>
    <w:rsid w:val="00267878"/>
    <w:rsid w:val="0030081D"/>
    <w:rsid w:val="003167F4"/>
    <w:rsid w:val="00404659"/>
    <w:rsid w:val="00425AB8"/>
    <w:rsid w:val="0043344B"/>
    <w:rsid w:val="00533762"/>
    <w:rsid w:val="005B7949"/>
    <w:rsid w:val="00650E54"/>
    <w:rsid w:val="006F6E0D"/>
    <w:rsid w:val="00727A8E"/>
    <w:rsid w:val="00772E3B"/>
    <w:rsid w:val="0078261B"/>
    <w:rsid w:val="007A54F5"/>
    <w:rsid w:val="00911EF4"/>
    <w:rsid w:val="00916C36"/>
    <w:rsid w:val="00966E38"/>
    <w:rsid w:val="009B02B2"/>
    <w:rsid w:val="009D5686"/>
    <w:rsid w:val="00A2702B"/>
    <w:rsid w:val="00A915E9"/>
    <w:rsid w:val="00A9255F"/>
    <w:rsid w:val="00AC5D22"/>
    <w:rsid w:val="00B44336"/>
    <w:rsid w:val="00C352BD"/>
    <w:rsid w:val="00CB664F"/>
    <w:rsid w:val="00E00558"/>
    <w:rsid w:val="00E421F7"/>
    <w:rsid w:val="00EF54A3"/>
    <w:rsid w:val="00FB6B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6E38"/>
    <w:pPr>
      <w:ind w:left="720"/>
      <w:contextualSpacing/>
    </w:pPr>
  </w:style>
  <w:style w:type="paragraph" w:styleId="Koptekst">
    <w:name w:val="header"/>
    <w:basedOn w:val="Standaard"/>
    <w:link w:val="KoptekstChar"/>
    <w:uiPriority w:val="99"/>
    <w:unhideWhenUsed/>
    <w:rsid w:val="003167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67F4"/>
  </w:style>
  <w:style w:type="paragraph" w:styleId="Voettekst">
    <w:name w:val="footer"/>
    <w:basedOn w:val="Standaard"/>
    <w:link w:val="VoettekstChar"/>
    <w:uiPriority w:val="99"/>
    <w:unhideWhenUsed/>
    <w:rsid w:val="003167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67F4"/>
  </w:style>
  <w:style w:type="paragraph" w:styleId="Ballontekst">
    <w:name w:val="Balloon Text"/>
    <w:basedOn w:val="Standaard"/>
    <w:link w:val="BallontekstChar"/>
    <w:uiPriority w:val="99"/>
    <w:semiHidden/>
    <w:unhideWhenUsed/>
    <w:rsid w:val="009D56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5686"/>
    <w:rPr>
      <w:rFonts w:ascii="Tahoma" w:hAnsi="Tahoma" w:cs="Tahoma"/>
      <w:sz w:val="16"/>
      <w:szCs w:val="16"/>
    </w:rPr>
  </w:style>
  <w:style w:type="character" w:styleId="Verwijzingopmerking">
    <w:name w:val="annotation reference"/>
    <w:basedOn w:val="Standaardalinea-lettertype"/>
    <w:uiPriority w:val="99"/>
    <w:semiHidden/>
    <w:unhideWhenUsed/>
    <w:rsid w:val="00727A8E"/>
    <w:rPr>
      <w:sz w:val="16"/>
      <w:szCs w:val="16"/>
    </w:rPr>
  </w:style>
  <w:style w:type="paragraph" w:styleId="Tekstopmerking">
    <w:name w:val="annotation text"/>
    <w:basedOn w:val="Standaard"/>
    <w:link w:val="TekstopmerkingChar"/>
    <w:uiPriority w:val="99"/>
    <w:semiHidden/>
    <w:unhideWhenUsed/>
    <w:rsid w:val="00727A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7A8E"/>
    <w:rPr>
      <w:sz w:val="20"/>
      <w:szCs w:val="20"/>
    </w:rPr>
  </w:style>
  <w:style w:type="paragraph" w:styleId="Onderwerpvanopmerking">
    <w:name w:val="annotation subject"/>
    <w:basedOn w:val="Tekstopmerking"/>
    <w:next w:val="Tekstopmerking"/>
    <w:link w:val="OnderwerpvanopmerkingChar"/>
    <w:uiPriority w:val="99"/>
    <w:semiHidden/>
    <w:unhideWhenUsed/>
    <w:rsid w:val="00727A8E"/>
    <w:rPr>
      <w:b/>
      <w:bCs/>
    </w:rPr>
  </w:style>
  <w:style w:type="character" w:customStyle="1" w:styleId="OnderwerpvanopmerkingChar">
    <w:name w:val="Onderwerp van opmerking Char"/>
    <w:basedOn w:val="TekstopmerkingChar"/>
    <w:link w:val="Onderwerpvanopmerking"/>
    <w:uiPriority w:val="99"/>
    <w:semiHidden/>
    <w:rsid w:val="00727A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6E38"/>
    <w:pPr>
      <w:ind w:left="720"/>
      <w:contextualSpacing/>
    </w:pPr>
  </w:style>
  <w:style w:type="paragraph" w:styleId="Koptekst">
    <w:name w:val="header"/>
    <w:basedOn w:val="Standaard"/>
    <w:link w:val="KoptekstChar"/>
    <w:uiPriority w:val="99"/>
    <w:unhideWhenUsed/>
    <w:rsid w:val="003167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67F4"/>
  </w:style>
  <w:style w:type="paragraph" w:styleId="Voettekst">
    <w:name w:val="footer"/>
    <w:basedOn w:val="Standaard"/>
    <w:link w:val="VoettekstChar"/>
    <w:uiPriority w:val="99"/>
    <w:unhideWhenUsed/>
    <w:rsid w:val="003167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67F4"/>
  </w:style>
  <w:style w:type="paragraph" w:styleId="Ballontekst">
    <w:name w:val="Balloon Text"/>
    <w:basedOn w:val="Standaard"/>
    <w:link w:val="BallontekstChar"/>
    <w:uiPriority w:val="99"/>
    <w:semiHidden/>
    <w:unhideWhenUsed/>
    <w:rsid w:val="009D56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5686"/>
    <w:rPr>
      <w:rFonts w:ascii="Tahoma" w:hAnsi="Tahoma" w:cs="Tahoma"/>
      <w:sz w:val="16"/>
      <w:szCs w:val="16"/>
    </w:rPr>
  </w:style>
  <w:style w:type="character" w:styleId="Verwijzingopmerking">
    <w:name w:val="annotation reference"/>
    <w:basedOn w:val="Standaardalinea-lettertype"/>
    <w:uiPriority w:val="99"/>
    <w:semiHidden/>
    <w:unhideWhenUsed/>
    <w:rsid w:val="00727A8E"/>
    <w:rPr>
      <w:sz w:val="16"/>
      <w:szCs w:val="16"/>
    </w:rPr>
  </w:style>
  <w:style w:type="paragraph" w:styleId="Tekstopmerking">
    <w:name w:val="annotation text"/>
    <w:basedOn w:val="Standaard"/>
    <w:link w:val="TekstopmerkingChar"/>
    <w:uiPriority w:val="99"/>
    <w:semiHidden/>
    <w:unhideWhenUsed/>
    <w:rsid w:val="00727A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7A8E"/>
    <w:rPr>
      <w:sz w:val="20"/>
      <w:szCs w:val="20"/>
    </w:rPr>
  </w:style>
  <w:style w:type="paragraph" w:styleId="Onderwerpvanopmerking">
    <w:name w:val="annotation subject"/>
    <w:basedOn w:val="Tekstopmerking"/>
    <w:next w:val="Tekstopmerking"/>
    <w:link w:val="OnderwerpvanopmerkingChar"/>
    <w:uiPriority w:val="99"/>
    <w:semiHidden/>
    <w:unhideWhenUsed/>
    <w:rsid w:val="00727A8E"/>
    <w:rPr>
      <w:b/>
      <w:bCs/>
    </w:rPr>
  </w:style>
  <w:style w:type="character" w:customStyle="1" w:styleId="OnderwerpvanopmerkingChar">
    <w:name w:val="Onderwerp van opmerking Char"/>
    <w:basedOn w:val="TekstopmerkingChar"/>
    <w:link w:val="Onderwerpvanopmerking"/>
    <w:uiPriority w:val="99"/>
    <w:semiHidden/>
    <w:rsid w:val="00727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579E-5122-45E3-8260-37D287A1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1084</Words>
  <Characters>5967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De Roover</dc:creator>
  <cp:lastModifiedBy>Winnie De Roover</cp:lastModifiedBy>
  <cp:revision>5</cp:revision>
  <dcterms:created xsi:type="dcterms:W3CDTF">2012-03-05T13:27:00Z</dcterms:created>
  <dcterms:modified xsi:type="dcterms:W3CDTF">2012-03-27T09:12:00Z</dcterms:modified>
</cp:coreProperties>
</file>